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98" w:rsidRPr="00FE5415" w:rsidRDefault="00DA4898" w:rsidP="00A452E7">
      <w:pPr>
        <w:pStyle w:val="Default"/>
        <w:jc w:val="center"/>
        <w:rPr>
          <w:rFonts w:ascii="Times New Roman" w:hAnsi="Times New Roman" w:cs="Times New Roman"/>
          <w:b/>
          <w:bCs/>
          <w:sz w:val="32"/>
          <w:szCs w:val="32"/>
        </w:rPr>
      </w:pPr>
      <w:r w:rsidRPr="00FE5415">
        <w:rPr>
          <w:rFonts w:ascii="Times New Roman" w:hAnsi="Times New Roman" w:cs="Times New Roman"/>
          <w:b/>
          <w:bCs/>
          <w:sz w:val="32"/>
          <w:szCs w:val="32"/>
        </w:rPr>
        <w:t xml:space="preserve">Comparison of Migration Data: 2013 American Community Survey and </w:t>
      </w:r>
      <w:r w:rsidR="00E657DD">
        <w:rPr>
          <w:rFonts w:ascii="Times New Roman" w:hAnsi="Times New Roman" w:cs="Times New Roman"/>
          <w:b/>
          <w:bCs/>
          <w:sz w:val="32"/>
          <w:szCs w:val="32"/>
        </w:rPr>
        <w:t>2013</w:t>
      </w:r>
      <w:r w:rsidR="00CE4B4C">
        <w:rPr>
          <w:rFonts w:ascii="Times New Roman" w:hAnsi="Times New Roman" w:cs="Times New Roman"/>
          <w:b/>
          <w:bCs/>
          <w:sz w:val="32"/>
          <w:szCs w:val="32"/>
        </w:rPr>
        <w:t xml:space="preserve"> </w:t>
      </w:r>
      <w:r w:rsidRPr="00FE5415">
        <w:rPr>
          <w:rFonts w:ascii="Times New Roman" w:hAnsi="Times New Roman" w:cs="Times New Roman"/>
          <w:b/>
          <w:bCs/>
          <w:sz w:val="32"/>
          <w:szCs w:val="32"/>
        </w:rPr>
        <w:t>Annual Social and Economic Supplement of the Current Population Survey</w:t>
      </w:r>
    </w:p>
    <w:p w:rsidR="005C5C49" w:rsidRPr="00FE5415" w:rsidRDefault="005C5C49">
      <w:pPr>
        <w:pStyle w:val="Default"/>
        <w:jc w:val="center"/>
        <w:rPr>
          <w:rFonts w:ascii="Times New Roman" w:hAnsi="Times New Roman" w:cs="Times New Roman"/>
          <w:b/>
          <w:bCs/>
          <w:sz w:val="32"/>
          <w:szCs w:val="32"/>
        </w:rPr>
      </w:pPr>
    </w:p>
    <w:p w:rsidR="005C5C49" w:rsidRPr="00FE5415" w:rsidRDefault="005C5C49">
      <w:pPr>
        <w:pStyle w:val="Default"/>
        <w:jc w:val="center"/>
        <w:rPr>
          <w:rFonts w:ascii="Times New Roman" w:hAnsi="Times New Roman" w:cs="Times New Roman"/>
          <w:b/>
          <w:bCs/>
        </w:rPr>
      </w:pPr>
      <w:r w:rsidRPr="00FE5415">
        <w:rPr>
          <w:rFonts w:ascii="Times New Roman" w:hAnsi="Times New Roman" w:cs="Times New Roman"/>
          <w:b/>
          <w:bCs/>
        </w:rPr>
        <w:t>David Ihrke, William Koerber, and Alison Fields</w:t>
      </w:r>
      <w:r w:rsidR="00102A55" w:rsidRPr="00FE5415">
        <w:rPr>
          <w:rStyle w:val="FootnoteReference"/>
          <w:rFonts w:ascii="Times New Roman" w:hAnsi="Times New Roman" w:cs="Times New Roman"/>
          <w:b/>
          <w:bCs/>
        </w:rPr>
        <w:footnoteReference w:id="1"/>
      </w:r>
    </w:p>
    <w:p w:rsidR="005C5C49" w:rsidRPr="00FE5415" w:rsidRDefault="005C5C49">
      <w:pPr>
        <w:pStyle w:val="Default"/>
        <w:jc w:val="center"/>
        <w:rPr>
          <w:rFonts w:ascii="Times New Roman" w:hAnsi="Times New Roman" w:cs="Times New Roman"/>
          <w:bCs/>
        </w:rPr>
      </w:pPr>
    </w:p>
    <w:p w:rsidR="005C5C49" w:rsidRPr="00FE5415" w:rsidRDefault="005C5C49">
      <w:pPr>
        <w:pStyle w:val="Default"/>
        <w:jc w:val="center"/>
        <w:rPr>
          <w:rFonts w:ascii="Times New Roman" w:hAnsi="Times New Roman" w:cs="Times New Roman"/>
          <w:bCs/>
          <w:sz w:val="20"/>
          <w:szCs w:val="20"/>
        </w:rPr>
      </w:pPr>
      <w:r w:rsidRPr="00FE5415">
        <w:rPr>
          <w:rFonts w:ascii="Times New Roman" w:hAnsi="Times New Roman" w:cs="Times New Roman"/>
          <w:bCs/>
          <w:sz w:val="20"/>
          <w:szCs w:val="20"/>
        </w:rPr>
        <w:t>U.S. Census Bureau</w:t>
      </w:r>
    </w:p>
    <w:p w:rsidR="00EF3E43" w:rsidRDefault="00EF3E43">
      <w:pPr>
        <w:pStyle w:val="Default"/>
        <w:contextualSpacing/>
        <w:jc w:val="center"/>
        <w:rPr>
          <w:rFonts w:ascii="Times New Roman" w:hAnsi="Times New Roman" w:cs="Times New Roman"/>
          <w:bCs/>
          <w:sz w:val="20"/>
          <w:szCs w:val="20"/>
        </w:rPr>
      </w:pPr>
    </w:p>
    <w:p w:rsidR="00EF3E43" w:rsidRDefault="00EF3E43">
      <w:pPr>
        <w:pStyle w:val="Default"/>
        <w:contextualSpacing/>
        <w:jc w:val="center"/>
        <w:rPr>
          <w:rFonts w:ascii="Times New Roman" w:hAnsi="Times New Roman" w:cs="Times New Roman"/>
          <w:sz w:val="20"/>
          <w:szCs w:val="20"/>
        </w:rPr>
      </w:pPr>
      <w:r w:rsidRPr="00EF3E43">
        <w:rPr>
          <w:rFonts w:ascii="Times New Roman" w:hAnsi="Times New Roman" w:cs="Times New Roman"/>
          <w:sz w:val="20"/>
          <w:szCs w:val="20"/>
        </w:rPr>
        <w:t>SEHSD Working Paper Number 2015-21</w:t>
      </w:r>
    </w:p>
    <w:p w:rsidR="00EF3E43" w:rsidRDefault="00EF3E43">
      <w:pPr>
        <w:pStyle w:val="Default"/>
        <w:contextualSpacing/>
        <w:jc w:val="center"/>
        <w:rPr>
          <w:rFonts w:ascii="Times New Roman" w:hAnsi="Times New Roman" w:cs="Times New Roman"/>
          <w:sz w:val="20"/>
          <w:szCs w:val="20"/>
        </w:rPr>
      </w:pPr>
    </w:p>
    <w:p w:rsidR="00EF3E43" w:rsidRDefault="00EF3E43">
      <w:pPr>
        <w:pStyle w:val="Default"/>
        <w:contextualSpacing/>
        <w:jc w:val="center"/>
        <w:rPr>
          <w:rFonts w:ascii="Times New Roman" w:hAnsi="Times New Roman" w:cs="Times New Roman"/>
          <w:sz w:val="20"/>
          <w:szCs w:val="20"/>
        </w:rPr>
      </w:pPr>
      <w:r>
        <w:rPr>
          <w:rFonts w:ascii="Times New Roman" w:hAnsi="Times New Roman" w:cs="Times New Roman"/>
          <w:sz w:val="20"/>
          <w:szCs w:val="20"/>
        </w:rPr>
        <w:t>A portion of this paper was presented at the 2015 Federal Committee on Statistical Methodology</w:t>
      </w:r>
      <w:r w:rsidR="00784250">
        <w:rPr>
          <w:rFonts w:ascii="Times New Roman" w:hAnsi="Times New Roman" w:cs="Times New Roman"/>
          <w:sz w:val="20"/>
          <w:szCs w:val="20"/>
        </w:rPr>
        <w:t xml:space="preserve"> in Washington, DC on December 2, 2015. </w:t>
      </w:r>
    </w:p>
    <w:p w:rsidR="00EF3E43" w:rsidRPr="00EF3E43" w:rsidRDefault="00EF3E43">
      <w:pPr>
        <w:pStyle w:val="Default"/>
        <w:contextualSpacing/>
        <w:jc w:val="center"/>
        <w:rPr>
          <w:rFonts w:ascii="Times New Roman" w:hAnsi="Times New Roman" w:cs="Times New Roman"/>
          <w:bCs/>
          <w:sz w:val="20"/>
          <w:szCs w:val="20"/>
        </w:rPr>
      </w:pPr>
    </w:p>
    <w:p w:rsidR="0008040D" w:rsidRDefault="0008040D" w:rsidP="00FC74D8">
      <w:pPr>
        <w:spacing w:line="240" w:lineRule="auto"/>
        <w:rPr>
          <w:rFonts w:ascii="Times New Roman" w:hAnsi="Times New Roman" w:cs="Times New Roman"/>
          <w:b/>
          <w:sz w:val="20"/>
          <w:szCs w:val="20"/>
        </w:rPr>
      </w:pPr>
      <w:r>
        <w:rPr>
          <w:rFonts w:ascii="Times New Roman" w:hAnsi="Times New Roman" w:cs="Times New Roman"/>
          <w:b/>
          <w:sz w:val="20"/>
          <w:szCs w:val="20"/>
        </w:rPr>
        <w:t>Abstract</w:t>
      </w:r>
    </w:p>
    <w:p w:rsidR="0008040D" w:rsidRPr="0008040D" w:rsidRDefault="00E657DD" w:rsidP="0008040D">
      <w:pPr>
        <w:rPr>
          <w:rFonts w:ascii="Times New Roman" w:hAnsi="Times New Roman" w:cs="Times New Roman"/>
          <w:sz w:val="20"/>
          <w:szCs w:val="20"/>
        </w:rPr>
      </w:pPr>
      <w:r>
        <w:rPr>
          <w:rFonts w:ascii="Times New Roman" w:hAnsi="Times New Roman" w:cs="Times New Roman"/>
          <w:sz w:val="20"/>
          <w:szCs w:val="20"/>
        </w:rPr>
        <w:t>S</w:t>
      </w:r>
      <w:r w:rsidR="0008040D" w:rsidRPr="0008040D">
        <w:rPr>
          <w:rFonts w:ascii="Times New Roman" w:hAnsi="Times New Roman" w:cs="Times New Roman"/>
          <w:sz w:val="20"/>
          <w:szCs w:val="20"/>
        </w:rPr>
        <w:t xml:space="preserve">everal </w:t>
      </w:r>
      <w:r w:rsidR="005F3F06">
        <w:rPr>
          <w:rFonts w:ascii="Times New Roman" w:hAnsi="Times New Roman" w:cs="Times New Roman"/>
          <w:sz w:val="20"/>
          <w:szCs w:val="20"/>
        </w:rPr>
        <w:t xml:space="preserve">of the U.S. Census Bureau’s </w:t>
      </w:r>
      <w:r w:rsidR="0008040D" w:rsidRPr="0008040D">
        <w:rPr>
          <w:rFonts w:ascii="Times New Roman" w:hAnsi="Times New Roman" w:cs="Times New Roman"/>
          <w:sz w:val="20"/>
          <w:szCs w:val="20"/>
        </w:rPr>
        <w:t xml:space="preserve">surveys </w:t>
      </w:r>
      <w:r w:rsidR="00945F40">
        <w:rPr>
          <w:rFonts w:ascii="Times New Roman" w:hAnsi="Times New Roman" w:cs="Times New Roman"/>
          <w:sz w:val="20"/>
          <w:szCs w:val="20"/>
        </w:rPr>
        <w:t>measure</w:t>
      </w:r>
      <w:r>
        <w:rPr>
          <w:rFonts w:ascii="Times New Roman" w:hAnsi="Times New Roman" w:cs="Times New Roman"/>
          <w:sz w:val="20"/>
          <w:szCs w:val="20"/>
        </w:rPr>
        <w:t xml:space="preserve"> g</w:t>
      </w:r>
      <w:r w:rsidRPr="0008040D">
        <w:rPr>
          <w:rFonts w:ascii="Times New Roman" w:hAnsi="Times New Roman" w:cs="Times New Roman"/>
          <w:sz w:val="20"/>
          <w:szCs w:val="20"/>
        </w:rPr>
        <w:t>e</w:t>
      </w:r>
      <w:r>
        <w:rPr>
          <w:rFonts w:ascii="Times New Roman" w:hAnsi="Times New Roman" w:cs="Times New Roman"/>
          <w:sz w:val="20"/>
          <w:szCs w:val="20"/>
        </w:rPr>
        <w:t>ographic mobility</w:t>
      </w:r>
      <w:r w:rsidR="0008040D" w:rsidRPr="0008040D">
        <w:rPr>
          <w:rFonts w:ascii="Times New Roman" w:hAnsi="Times New Roman" w:cs="Times New Roman"/>
          <w:sz w:val="20"/>
          <w:szCs w:val="20"/>
        </w:rPr>
        <w:t>. This paper focuses on</w:t>
      </w:r>
      <w:r w:rsidR="00CE4B4C">
        <w:rPr>
          <w:rFonts w:ascii="Times New Roman" w:hAnsi="Times New Roman" w:cs="Times New Roman"/>
          <w:sz w:val="20"/>
          <w:szCs w:val="20"/>
        </w:rPr>
        <w:t xml:space="preserve"> 2013</w:t>
      </w:r>
      <w:r w:rsidR="0008040D" w:rsidRPr="0008040D">
        <w:rPr>
          <w:rFonts w:ascii="Times New Roman" w:hAnsi="Times New Roman" w:cs="Times New Roman"/>
          <w:sz w:val="20"/>
          <w:szCs w:val="20"/>
        </w:rPr>
        <w:t xml:space="preserve"> migration data collected</w:t>
      </w:r>
      <w:r w:rsidR="00CE4B4C">
        <w:rPr>
          <w:rFonts w:ascii="Times New Roman" w:hAnsi="Times New Roman" w:cs="Times New Roman"/>
          <w:sz w:val="20"/>
          <w:szCs w:val="20"/>
        </w:rPr>
        <w:t xml:space="preserve"> </w:t>
      </w:r>
      <w:r w:rsidR="0008040D" w:rsidRPr="0008040D">
        <w:rPr>
          <w:rFonts w:ascii="Times New Roman" w:hAnsi="Times New Roman" w:cs="Times New Roman"/>
          <w:sz w:val="20"/>
          <w:szCs w:val="20"/>
        </w:rPr>
        <w:t xml:space="preserve">through two different surveys, the American Community Survey (ACS) and the Annual Social and Economic Supplement (ASEC) of the Current Population Survey. </w:t>
      </w:r>
    </w:p>
    <w:p w:rsidR="0008040D" w:rsidRPr="0008040D" w:rsidRDefault="0008040D" w:rsidP="0008040D">
      <w:pPr>
        <w:rPr>
          <w:rFonts w:ascii="Times New Roman" w:hAnsi="Times New Roman" w:cs="Times New Roman"/>
          <w:sz w:val="20"/>
          <w:szCs w:val="20"/>
        </w:rPr>
      </w:pPr>
      <w:r w:rsidRPr="0008040D">
        <w:rPr>
          <w:rFonts w:ascii="Times New Roman" w:hAnsi="Times New Roman" w:cs="Times New Roman"/>
          <w:sz w:val="20"/>
          <w:szCs w:val="20"/>
        </w:rPr>
        <w:t>The ASEC offers a historical perspective on annual migration that is unparalleled. It first asked respondents about their movement in 1948. Data are available at the national and regional levels. There are two important</w:t>
      </w:r>
      <w:r w:rsidR="005F3F06">
        <w:rPr>
          <w:rFonts w:ascii="Times New Roman" w:hAnsi="Times New Roman" w:cs="Times New Roman"/>
          <w:sz w:val="20"/>
          <w:szCs w:val="20"/>
        </w:rPr>
        <w:t>, additional</w:t>
      </w:r>
      <w:r w:rsidRPr="0008040D">
        <w:rPr>
          <w:rFonts w:ascii="Times New Roman" w:hAnsi="Times New Roman" w:cs="Times New Roman"/>
          <w:sz w:val="20"/>
          <w:szCs w:val="20"/>
        </w:rPr>
        <w:t xml:space="preserve"> measures offered by ASEC</w:t>
      </w:r>
      <w:r w:rsidR="005F3F06">
        <w:rPr>
          <w:rFonts w:ascii="Times New Roman" w:hAnsi="Times New Roman" w:cs="Times New Roman"/>
          <w:sz w:val="20"/>
          <w:szCs w:val="20"/>
        </w:rPr>
        <w:t>:</w:t>
      </w:r>
      <w:r w:rsidRPr="0008040D">
        <w:rPr>
          <w:rFonts w:ascii="Times New Roman" w:hAnsi="Times New Roman" w:cs="Times New Roman"/>
          <w:sz w:val="20"/>
          <w:szCs w:val="20"/>
        </w:rPr>
        <w:t xml:space="preserve"> reason for move and distance moved. Neither </w:t>
      </w:r>
      <w:r w:rsidR="00E657DD" w:rsidRPr="0008040D">
        <w:rPr>
          <w:rFonts w:ascii="Times New Roman" w:hAnsi="Times New Roman" w:cs="Times New Roman"/>
          <w:sz w:val="20"/>
          <w:szCs w:val="20"/>
        </w:rPr>
        <w:t>is</w:t>
      </w:r>
      <w:r w:rsidRPr="0008040D">
        <w:rPr>
          <w:rFonts w:ascii="Times New Roman" w:hAnsi="Times New Roman" w:cs="Times New Roman"/>
          <w:sz w:val="20"/>
          <w:szCs w:val="20"/>
        </w:rPr>
        <w:t xml:space="preserve"> currently available through the ACS.</w:t>
      </w:r>
    </w:p>
    <w:p w:rsidR="0008040D" w:rsidRPr="0008040D" w:rsidRDefault="0008040D" w:rsidP="0008040D">
      <w:pPr>
        <w:rPr>
          <w:rFonts w:ascii="Times New Roman" w:hAnsi="Times New Roman" w:cs="Times New Roman"/>
          <w:sz w:val="20"/>
          <w:szCs w:val="20"/>
        </w:rPr>
      </w:pPr>
      <w:r w:rsidRPr="0008040D">
        <w:rPr>
          <w:rFonts w:ascii="Times New Roman" w:hAnsi="Times New Roman" w:cs="Times New Roman"/>
          <w:sz w:val="20"/>
          <w:szCs w:val="20"/>
        </w:rPr>
        <w:t xml:space="preserve">While the ACS cannot highlight long-term trends, its strengths include the ability to focus on smaller geographies and populations. Migration data are available to the city/town level. There are also ACS flow products available down to the county level. This level of detail is too refined for ASEC migration data. </w:t>
      </w:r>
    </w:p>
    <w:p w:rsidR="0008040D" w:rsidRPr="0008040D" w:rsidRDefault="0008040D" w:rsidP="0008040D">
      <w:pPr>
        <w:rPr>
          <w:rFonts w:ascii="Times New Roman" w:hAnsi="Times New Roman" w:cs="Times New Roman"/>
          <w:sz w:val="20"/>
          <w:szCs w:val="20"/>
        </w:rPr>
      </w:pPr>
      <w:r w:rsidRPr="0008040D">
        <w:rPr>
          <w:rFonts w:ascii="Times New Roman" w:hAnsi="Times New Roman" w:cs="Times New Roman"/>
          <w:sz w:val="20"/>
          <w:szCs w:val="20"/>
        </w:rPr>
        <w:t xml:space="preserve">Even though the two surveys have similar migration questions, design and methodological differences result in different estimates. This paper </w:t>
      </w:r>
      <w:r w:rsidR="005F3F06">
        <w:rPr>
          <w:rFonts w:ascii="Times New Roman" w:hAnsi="Times New Roman" w:cs="Times New Roman"/>
          <w:sz w:val="20"/>
          <w:szCs w:val="20"/>
        </w:rPr>
        <w:t>discusses</w:t>
      </w:r>
      <w:r w:rsidR="005F3F06" w:rsidRPr="0008040D">
        <w:rPr>
          <w:rFonts w:ascii="Times New Roman" w:hAnsi="Times New Roman" w:cs="Times New Roman"/>
          <w:sz w:val="20"/>
          <w:szCs w:val="20"/>
        </w:rPr>
        <w:t xml:space="preserve"> </w:t>
      </w:r>
      <w:r w:rsidRPr="0008040D">
        <w:rPr>
          <w:rFonts w:ascii="Times New Roman" w:hAnsi="Times New Roman" w:cs="Times New Roman"/>
          <w:sz w:val="20"/>
          <w:szCs w:val="20"/>
        </w:rPr>
        <w:t>these differences and notes changes since full ACS implementation</w:t>
      </w:r>
      <w:r w:rsidR="00E657DD">
        <w:rPr>
          <w:rFonts w:ascii="Times New Roman" w:hAnsi="Times New Roman" w:cs="Times New Roman"/>
          <w:sz w:val="20"/>
          <w:szCs w:val="20"/>
        </w:rPr>
        <w:t xml:space="preserve"> in 2005</w:t>
      </w:r>
      <w:r w:rsidRPr="0008040D">
        <w:rPr>
          <w:rFonts w:ascii="Times New Roman" w:hAnsi="Times New Roman" w:cs="Times New Roman"/>
          <w:sz w:val="20"/>
          <w:szCs w:val="20"/>
        </w:rPr>
        <w:t>. The analysis evaluates national mover rates for each survey</w:t>
      </w:r>
      <w:r w:rsidR="001D08C6">
        <w:rPr>
          <w:rFonts w:ascii="Times New Roman" w:hAnsi="Times New Roman" w:cs="Times New Roman"/>
          <w:sz w:val="20"/>
          <w:szCs w:val="20"/>
        </w:rPr>
        <w:t xml:space="preserve">, </w:t>
      </w:r>
      <w:r w:rsidR="00A52065">
        <w:rPr>
          <w:rFonts w:ascii="Times New Roman" w:hAnsi="Times New Roman" w:cs="Times New Roman"/>
          <w:sz w:val="20"/>
          <w:szCs w:val="20"/>
        </w:rPr>
        <w:t>and includes</w:t>
      </w:r>
      <w:r w:rsidR="001D08C6">
        <w:rPr>
          <w:rFonts w:ascii="Times New Roman" w:hAnsi="Times New Roman" w:cs="Times New Roman"/>
          <w:sz w:val="20"/>
          <w:szCs w:val="20"/>
        </w:rPr>
        <w:t xml:space="preserve"> an exercise to create a hypothetical ACS mover rate using only counties in the CPS sample</w:t>
      </w:r>
      <w:r w:rsidR="005F3F06">
        <w:rPr>
          <w:rFonts w:ascii="Times New Roman" w:hAnsi="Times New Roman" w:cs="Times New Roman"/>
          <w:sz w:val="20"/>
          <w:szCs w:val="20"/>
        </w:rPr>
        <w:t xml:space="preserve"> to </w:t>
      </w:r>
      <w:r w:rsidR="00D0337D">
        <w:rPr>
          <w:rFonts w:ascii="Times New Roman" w:hAnsi="Times New Roman" w:cs="Times New Roman"/>
          <w:sz w:val="20"/>
          <w:szCs w:val="20"/>
        </w:rPr>
        <w:t>illustrate if</w:t>
      </w:r>
      <w:r w:rsidR="002D73B7">
        <w:rPr>
          <w:rFonts w:ascii="Times New Roman" w:hAnsi="Times New Roman" w:cs="Times New Roman"/>
          <w:sz w:val="20"/>
          <w:szCs w:val="20"/>
        </w:rPr>
        <w:t xml:space="preserve"> county coverage in the CPS sample contributes to observable differences in mover rates between the surveys. </w:t>
      </w:r>
      <w:bookmarkStart w:id="0" w:name="_GoBack"/>
      <w:bookmarkEnd w:id="0"/>
    </w:p>
    <w:p w:rsidR="000E67FB" w:rsidRDefault="0008040D" w:rsidP="0008040D">
      <w:pPr>
        <w:rPr>
          <w:rFonts w:ascii="Times New Roman" w:hAnsi="Times New Roman" w:cs="Times New Roman"/>
          <w:sz w:val="20"/>
          <w:szCs w:val="20"/>
        </w:rPr>
      </w:pPr>
      <w:r w:rsidRPr="0008040D">
        <w:rPr>
          <w:rFonts w:ascii="Times New Roman" w:hAnsi="Times New Roman" w:cs="Times New Roman"/>
          <w:sz w:val="20"/>
          <w:szCs w:val="20"/>
        </w:rPr>
        <w:t xml:space="preserve">General guidance is provided regarding when to use the ACS or ASEC for migration estimates. The </w:t>
      </w:r>
      <w:r w:rsidR="001D08C6">
        <w:rPr>
          <w:rFonts w:ascii="Times New Roman" w:hAnsi="Times New Roman" w:cs="Times New Roman"/>
          <w:sz w:val="20"/>
          <w:szCs w:val="20"/>
        </w:rPr>
        <w:t xml:space="preserve">main conclusion of this </w:t>
      </w:r>
      <w:r w:rsidRPr="0008040D">
        <w:rPr>
          <w:rFonts w:ascii="Times New Roman" w:hAnsi="Times New Roman" w:cs="Times New Roman"/>
          <w:sz w:val="20"/>
          <w:szCs w:val="20"/>
        </w:rPr>
        <w:t>paper</w:t>
      </w:r>
      <w:r w:rsidR="001D08C6">
        <w:rPr>
          <w:rFonts w:ascii="Times New Roman" w:hAnsi="Times New Roman" w:cs="Times New Roman"/>
          <w:sz w:val="20"/>
          <w:szCs w:val="20"/>
        </w:rPr>
        <w:t xml:space="preserve"> is that there is no single, easily identifiable reason why migration estimates differ across these two surveys. Instead, there are a </w:t>
      </w:r>
      <w:r w:rsidR="00CE4B4C">
        <w:rPr>
          <w:rFonts w:ascii="Times New Roman" w:hAnsi="Times New Roman" w:cs="Times New Roman"/>
          <w:sz w:val="20"/>
          <w:szCs w:val="20"/>
        </w:rPr>
        <w:t>surplus</w:t>
      </w:r>
      <w:r w:rsidR="001D08C6">
        <w:rPr>
          <w:rFonts w:ascii="Times New Roman" w:hAnsi="Times New Roman" w:cs="Times New Roman"/>
          <w:sz w:val="20"/>
          <w:szCs w:val="20"/>
        </w:rPr>
        <w:t xml:space="preserve"> of factors that each cont</w:t>
      </w:r>
      <w:r w:rsidR="0018255D">
        <w:rPr>
          <w:rFonts w:ascii="Times New Roman" w:hAnsi="Times New Roman" w:cs="Times New Roman"/>
          <w:sz w:val="20"/>
          <w:szCs w:val="20"/>
        </w:rPr>
        <w:t>ribute to observed differences</w:t>
      </w:r>
      <w:r w:rsidR="005F3F06">
        <w:rPr>
          <w:rFonts w:ascii="Times New Roman" w:hAnsi="Times New Roman" w:cs="Times New Roman"/>
          <w:sz w:val="20"/>
          <w:szCs w:val="20"/>
        </w:rPr>
        <w:t>, which are summarized in</w:t>
      </w:r>
      <w:r w:rsidR="0018255D">
        <w:rPr>
          <w:rFonts w:ascii="Times New Roman" w:hAnsi="Times New Roman" w:cs="Times New Roman"/>
          <w:sz w:val="20"/>
          <w:szCs w:val="20"/>
        </w:rPr>
        <w:t xml:space="preserve"> a quick reference comparison matrix of the various factors</w:t>
      </w:r>
      <w:r w:rsidR="005F3F06">
        <w:rPr>
          <w:rFonts w:ascii="Times New Roman" w:hAnsi="Times New Roman" w:cs="Times New Roman"/>
          <w:sz w:val="20"/>
          <w:szCs w:val="20"/>
        </w:rPr>
        <w:t xml:space="preserve"> provided in the appendix section</w:t>
      </w:r>
      <w:r w:rsidR="0018255D">
        <w:rPr>
          <w:rFonts w:ascii="Times New Roman" w:hAnsi="Times New Roman" w:cs="Times New Roman"/>
          <w:sz w:val="20"/>
          <w:szCs w:val="20"/>
        </w:rPr>
        <w:t xml:space="preserve">. </w:t>
      </w:r>
      <w:r w:rsidR="00BE4225">
        <w:rPr>
          <w:rFonts w:ascii="Times New Roman" w:hAnsi="Times New Roman" w:cs="Times New Roman"/>
          <w:sz w:val="20"/>
          <w:szCs w:val="20"/>
        </w:rPr>
        <w:t xml:space="preserve">This </w:t>
      </w:r>
      <w:r w:rsidR="00CE4B4C">
        <w:rPr>
          <w:rFonts w:ascii="Times New Roman" w:hAnsi="Times New Roman" w:cs="Times New Roman"/>
          <w:sz w:val="20"/>
          <w:szCs w:val="20"/>
        </w:rPr>
        <w:t>is the first in a</w:t>
      </w:r>
      <w:r w:rsidRPr="0008040D">
        <w:rPr>
          <w:rFonts w:ascii="Times New Roman" w:hAnsi="Times New Roman" w:cs="Times New Roman"/>
          <w:sz w:val="20"/>
          <w:szCs w:val="20"/>
        </w:rPr>
        <w:t xml:space="preserve"> series of </w:t>
      </w:r>
      <w:r w:rsidR="00CE4B4C">
        <w:rPr>
          <w:rFonts w:ascii="Times New Roman" w:hAnsi="Times New Roman" w:cs="Times New Roman"/>
          <w:sz w:val="20"/>
          <w:szCs w:val="20"/>
        </w:rPr>
        <w:t xml:space="preserve">planned </w:t>
      </w:r>
      <w:r w:rsidRPr="0008040D">
        <w:rPr>
          <w:rFonts w:ascii="Times New Roman" w:hAnsi="Times New Roman" w:cs="Times New Roman"/>
          <w:sz w:val="20"/>
          <w:szCs w:val="20"/>
        </w:rPr>
        <w:t xml:space="preserve">evaluations of Census migration data compared to other surveys, population estimates, and administrative </w:t>
      </w:r>
      <w:r w:rsidR="00945F40" w:rsidRPr="0008040D">
        <w:rPr>
          <w:rFonts w:ascii="Times New Roman" w:hAnsi="Times New Roman" w:cs="Times New Roman"/>
          <w:sz w:val="20"/>
          <w:szCs w:val="20"/>
        </w:rPr>
        <w:t>records. Numerous</w:t>
      </w:r>
      <w:r w:rsidR="00945F40">
        <w:rPr>
          <w:rFonts w:ascii="Times New Roman" w:hAnsi="Times New Roman" w:cs="Times New Roman"/>
          <w:sz w:val="20"/>
          <w:szCs w:val="20"/>
        </w:rPr>
        <w:t xml:space="preserve"> </w:t>
      </w:r>
      <w:r w:rsidR="00CE4B4C">
        <w:rPr>
          <w:rFonts w:ascii="Times New Roman" w:hAnsi="Times New Roman" w:cs="Times New Roman"/>
          <w:sz w:val="20"/>
          <w:szCs w:val="20"/>
        </w:rPr>
        <w:t xml:space="preserve">elements </w:t>
      </w:r>
      <w:r w:rsidR="00BE4225">
        <w:rPr>
          <w:rFonts w:ascii="Times New Roman" w:hAnsi="Times New Roman" w:cs="Times New Roman"/>
          <w:sz w:val="20"/>
          <w:szCs w:val="20"/>
        </w:rPr>
        <w:t xml:space="preserve">discussed in this paper </w:t>
      </w:r>
      <w:r w:rsidR="00CE4B4C">
        <w:rPr>
          <w:rFonts w:ascii="Times New Roman" w:hAnsi="Times New Roman" w:cs="Times New Roman"/>
          <w:sz w:val="20"/>
          <w:szCs w:val="20"/>
        </w:rPr>
        <w:t>will</w:t>
      </w:r>
      <w:r w:rsidR="00BE4225">
        <w:rPr>
          <w:rFonts w:ascii="Times New Roman" w:hAnsi="Times New Roman" w:cs="Times New Roman"/>
          <w:sz w:val="20"/>
          <w:szCs w:val="20"/>
        </w:rPr>
        <w:t xml:space="preserve"> be explored in-depth in future papers. </w:t>
      </w:r>
    </w:p>
    <w:p w:rsidR="000E67FB" w:rsidRDefault="000E67FB" w:rsidP="0008040D">
      <w:pPr>
        <w:rPr>
          <w:rFonts w:ascii="Times New Roman" w:hAnsi="Times New Roman" w:cs="Times New Roman"/>
          <w:sz w:val="20"/>
          <w:szCs w:val="20"/>
        </w:rPr>
      </w:pPr>
    </w:p>
    <w:p w:rsidR="00591C1C" w:rsidRDefault="00591C1C" w:rsidP="008438DF">
      <w:pPr>
        <w:rPr>
          <w:rFonts w:ascii="Times New Roman" w:hAnsi="Times New Roman" w:cs="Times New Roman"/>
          <w:b/>
          <w:sz w:val="20"/>
          <w:szCs w:val="20"/>
        </w:rPr>
      </w:pPr>
    </w:p>
    <w:p w:rsidR="002676B8" w:rsidRPr="00FE5415" w:rsidRDefault="002676B8" w:rsidP="008438DF">
      <w:pPr>
        <w:rPr>
          <w:rFonts w:ascii="Times New Roman" w:hAnsi="Times New Roman" w:cs="Times New Roman"/>
          <w:b/>
          <w:sz w:val="20"/>
          <w:szCs w:val="20"/>
        </w:rPr>
      </w:pPr>
      <w:r w:rsidRPr="00FE5415">
        <w:rPr>
          <w:rFonts w:ascii="Times New Roman" w:hAnsi="Times New Roman" w:cs="Times New Roman"/>
          <w:b/>
          <w:sz w:val="20"/>
          <w:szCs w:val="20"/>
        </w:rPr>
        <w:lastRenderedPageBreak/>
        <w:t>Introduction</w:t>
      </w:r>
    </w:p>
    <w:p w:rsidR="0090348E" w:rsidRPr="00FE5415" w:rsidRDefault="00FB328C" w:rsidP="00FC74D8">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U.S. Census Bureau publishes migration estimates from several sources, including t</w:t>
      </w:r>
      <w:r w:rsidR="00946484" w:rsidRPr="00FE5415">
        <w:rPr>
          <w:rFonts w:ascii="Times New Roman" w:hAnsi="Times New Roman" w:cs="Times New Roman"/>
          <w:sz w:val="20"/>
          <w:szCs w:val="20"/>
        </w:rPr>
        <w:t>he American Community Survey (ACS) and the Annual Social and Economic Supplement (ASEC) of the Current Population Survey</w:t>
      </w:r>
      <w:r w:rsidR="00994A9D" w:rsidRPr="00FE5415">
        <w:rPr>
          <w:rFonts w:ascii="Times New Roman" w:hAnsi="Times New Roman" w:cs="Times New Roman"/>
          <w:sz w:val="20"/>
          <w:szCs w:val="20"/>
        </w:rPr>
        <w:t xml:space="preserve"> (CPS)</w:t>
      </w:r>
      <w:r w:rsidR="00DA4898" w:rsidRPr="00FE5415">
        <w:rPr>
          <w:rFonts w:ascii="Times New Roman" w:hAnsi="Times New Roman" w:cs="Times New Roman"/>
          <w:sz w:val="20"/>
          <w:szCs w:val="20"/>
        </w:rPr>
        <w:t>.</w:t>
      </w:r>
      <w:r w:rsidR="00203F14" w:rsidRPr="00FE5415">
        <w:rPr>
          <w:rStyle w:val="FootnoteReference"/>
          <w:rFonts w:ascii="Times New Roman" w:hAnsi="Times New Roman" w:cs="Times New Roman"/>
          <w:sz w:val="20"/>
          <w:szCs w:val="20"/>
        </w:rPr>
        <w:footnoteReference w:id="2"/>
      </w:r>
      <w:r w:rsidR="00DA4898" w:rsidRPr="00FE5415">
        <w:rPr>
          <w:rFonts w:ascii="Times New Roman" w:hAnsi="Times New Roman" w:cs="Times New Roman"/>
          <w:sz w:val="20"/>
          <w:szCs w:val="20"/>
        </w:rPr>
        <w:t xml:space="preserve"> This paper </w:t>
      </w:r>
      <w:r w:rsidR="00E82612" w:rsidRPr="00FE5415">
        <w:rPr>
          <w:rFonts w:ascii="Times New Roman" w:hAnsi="Times New Roman" w:cs="Times New Roman"/>
          <w:sz w:val="20"/>
          <w:szCs w:val="20"/>
        </w:rPr>
        <w:t>revisits</w:t>
      </w:r>
      <w:r w:rsidR="000C1324" w:rsidRPr="00FE5415">
        <w:rPr>
          <w:rFonts w:ascii="Times New Roman" w:hAnsi="Times New Roman" w:cs="Times New Roman"/>
          <w:sz w:val="20"/>
          <w:szCs w:val="20"/>
        </w:rPr>
        <w:t xml:space="preserve"> </w:t>
      </w:r>
      <w:r w:rsidR="00AD0974" w:rsidRPr="00FE5415">
        <w:rPr>
          <w:rFonts w:ascii="Times New Roman" w:hAnsi="Times New Roman" w:cs="Times New Roman"/>
          <w:sz w:val="20"/>
          <w:szCs w:val="20"/>
        </w:rPr>
        <w:t>previous</w:t>
      </w:r>
      <w:r w:rsidR="00B12069" w:rsidRPr="00FE5415">
        <w:rPr>
          <w:rFonts w:ascii="Times New Roman" w:hAnsi="Times New Roman" w:cs="Times New Roman"/>
          <w:sz w:val="20"/>
          <w:szCs w:val="20"/>
        </w:rPr>
        <w:t xml:space="preserve"> work comparing</w:t>
      </w:r>
      <w:r w:rsidR="00E82612" w:rsidRPr="00FE5415">
        <w:rPr>
          <w:rFonts w:ascii="Times New Roman" w:hAnsi="Times New Roman" w:cs="Times New Roman"/>
          <w:sz w:val="20"/>
          <w:szCs w:val="20"/>
        </w:rPr>
        <w:t xml:space="preserve"> </w:t>
      </w:r>
      <w:r w:rsidR="003010A3" w:rsidRPr="00FE5415">
        <w:rPr>
          <w:rFonts w:ascii="Times New Roman" w:hAnsi="Times New Roman" w:cs="Times New Roman"/>
          <w:sz w:val="20"/>
          <w:szCs w:val="20"/>
        </w:rPr>
        <w:t>ACS and ASEC</w:t>
      </w:r>
      <w:r w:rsidR="00B12069" w:rsidRPr="00FE5415">
        <w:rPr>
          <w:rFonts w:ascii="Times New Roman" w:hAnsi="Times New Roman" w:cs="Times New Roman"/>
          <w:sz w:val="20"/>
          <w:szCs w:val="20"/>
        </w:rPr>
        <w:t xml:space="preserve"> </w:t>
      </w:r>
      <w:r w:rsidR="006025DE" w:rsidRPr="00FE5415">
        <w:rPr>
          <w:rFonts w:ascii="Times New Roman" w:hAnsi="Times New Roman" w:cs="Times New Roman"/>
          <w:sz w:val="20"/>
          <w:szCs w:val="20"/>
        </w:rPr>
        <w:t xml:space="preserve">migration </w:t>
      </w:r>
      <w:r w:rsidR="00B12069" w:rsidRPr="00FE5415">
        <w:rPr>
          <w:rFonts w:ascii="Times New Roman" w:hAnsi="Times New Roman" w:cs="Times New Roman"/>
          <w:sz w:val="20"/>
          <w:szCs w:val="20"/>
        </w:rPr>
        <w:t>estimates</w:t>
      </w:r>
      <w:r w:rsidR="00F4755B" w:rsidRPr="00FE5415">
        <w:rPr>
          <w:rFonts w:ascii="Times New Roman" w:hAnsi="Times New Roman" w:cs="Times New Roman"/>
          <w:sz w:val="20"/>
          <w:szCs w:val="20"/>
        </w:rPr>
        <w:t xml:space="preserve"> by Koerber (2007</w:t>
      </w:r>
      <w:r w:rsidR="00E82612" w:rsidRPr="00FE5415">
        <w:rPr>
          <w:rFonts w:ascii="Times New Roman" w:hAnsi="Times New Roman" w:cs="Times New Roman"/>
          <w:sz w:val="20"/>
          <w:szCs w:val="20"/>
        </w:rPr>
        <w:t>).</w:t>
      </w:r>
      <w:r w:rsidR="00DC6C5D" w:rsidRPr="00FE5415">
        <w:rPr>
          <w:rStyle w:val="FootnoteReference"/>
          <w:rFonts w:ascii="Times New Roman" w:hAnsi="Times New Roman" w:cs="Times New Roman"/>
          <w:sz w:val="20"/>
          <w:szCs w:val="20"/>
        </w:rPr>
        <w:footnoteReference w:id="3"/>
      </w:r>
      <w:r w:rsidR="00084596" w:rsidRPr="00FE5415">
        <w:rPr>
          <w:rFonts w:ascii="Times New Roman" w:hAnsi="Times New Roman" w:cs="Times New Roman"/>
          <w:sz w:val="20"/>
          <w:szCs w:val="20"/>
        </w:rPr>
        <w:t xml:space="preserve"> </w:t>
      </w:r>
      <w:r w:rsidR="000C1324" w:rsidRPr="00FE5415">
        <w:rPr>
          <w:rFonts w:ascii="Times New Roman" w:hAnsi="Times New Roman" w:cs="Times New Roman"/>
          <w:sz w:val="20"/>
          <w:szCs w:val="20"/>
        </w:rPr>
        <w:t>His</w:t>
      </w:r>
      <w:r w:rsidR="00E82612" w:rsidRPr="00FE5415">
        <w:rPr>
          <w:rFonts w:ascii="Times New Roman" w:hAnsi="Times New Roman" w:cs="Times New Roman"/>
          <w:sz w:val="20"/>
          <w:szCs w:val="20"/>
        </w:rPr>
        <w:t xml:space="preserve"> analysis </w:t>
      </w:r>
      <w:r w:rsidR="00B505C1" w:rsidRPr="00FE5415">
        <w:rPr>
          <w:rFonts w:ascii="Times New Roman" w:hAnsi="Times New Roman" w:cs="Times New Roman"/>
          <w:sz w:val="20"/>
          <w:szCs w:val="20"/>
        </w:rPr>
        <w:t>occurred</w:t>
      </w:r>
      <w:r w:rsidR="00E82612" w:rsidRPr="00FE5415">
        <w:rPr>
          <w:rFonts w:ascii="Times New Roman" w:hAnsi="Times New Roman" w:cs="Times New Roman"/>
          <w:sz w:val="20"/>
          <w:szCs w:val="20"/>
        </w:rPr>
        <w:t xml:space="preserve"> prior to </w:t>
      </w:r>
      <w:r w:rsidR="00AD0974" w:rsidRPr="00FE5415">
        <w:rPr>
          <w:rFonts w:ascii="Times New Roman" w:hAnsi="Times New Roman" w:cs="Times New Roman"/>
          <w:sz w:val="20"/>
          <w:szCs w:val="20"/>
        </w:rPr>
        <w:t>full implementation of the</w:t>
      </w:r>
      <w:r w:rsidR="00E82612" w:rsidRPr="00FE5415">
        <w:rPr>
          <w:rFonts w:ascii="Times New Roman" w:hAnsi="Times New Roman" w:cs="Times New Roman"/>
          <w:sz w:val="20"/>
          <w:szCs w:val="20"/>
        </w:rPr>
        <w:t xml:space="preserve"> ACS</w:t>
      </w:r>
      <w:r w:rsidR="00AD0974" w:rsidRPr="00FE5415">
        <w:rPr>
          <w:rFonts w:ascii="Times New Roman" w:hAnsi="Times New Roman" w:cs="Times New Roman"/>
          <w:sz w:val="20"/>
          <w:szCs w:val="20"/>
        </w:rPr>
        <w:t>.</w:t>
      </w:r>
      <w:r w:rsidR="00E82612" w:rsidRPr="00FE5415">
        <w:rPr>
          <w:rFonts w:ascii="Times New Roman" w:hAnsi="Times New Roman" w:cs="Times New Roman"/>
          <w:sz w:val="20"/>
          <w:szCs w:val="20"/>
        </w:rPr>
        <w:t xml:space="preserve"> </w:t>
      </w:r>
      <w:r w:rsidR="005D63C1" w:rsidRPr="00FE5415">
        <w:rPr>
          <w:rFonts w:ascii="Times New Roman" w:hAnsi="Times New Roman" w:cs="Times New Roman"/>
          <w:sz w:val="20"/>
          <w:szCs w:val="20"/>
        </w:rPr>
        <w:t>Since that time, several things</w:t>
      </w:r>
      <w:r w:rsidR="00A73C65" w:rsidRPr="00FE5415">
        <w:rPr>
          <w:rFonts w:ascii="Times New Roman" w:hAnsi="Times New Roman" w:cs="Times New Roman"/>
          <w:sz w:val="20"/>
          <w:szCs w:val="20"/>
        </w:rPr>
        <w:t xml:space="preserve"> have changed for the ACS </w:t>
      </w:r>
      <w:r w:rsidR="005D63C1" w:rsidRPr="00FE5415">
        <w:rPr>
          <w:rFonts w:ascii="Times New Roman" w:hAnsi="Times New Roman" w:cs="Times New Roman"/>
          <w:sz w:val="20"/>
          <w:szCs w:val="20"/>
        </w:rPr>
        <w:t xml:space="preserve">and ASEC. </w:t>
      </w:r>
      <w:r>
        <w:rPr>
          <w:rFonts w:ascii="Times New Roman" w:hAnsi="Times New Roman" w:cs="Times New Roman"/>
          <w:sz w:val="20"/>
          <w:szCs w:val="20"/>
        </w:rPr>
        <w:t>T</w:t>
      </w:r>
      <w:r w:rsidR="005D63C1" w:rsidRPr="00FE5415">
        <w:rPr>
          <w:rFonts w:ascii="Times New Roman" w:hAnsi="Times New Roman" w:cs="Times New Roman"/>
          <w:sz w:val="20"/>
          <w:szCs w:val="20"/>
        </w:rPr>
        <w:t xml:space="preserve">he ACS improvements include the use of </w:t>
      </w:r>
      <w:r w:rsidR="00A73C65" w:rsidRPr="00FE5415">
        <w:rPr>
          <w:rFonts w:ascii="Times New Roman" w:hAnsi="Times New Roman" w:cs="Times New Roman"/>
          <w:sz w:val="20"/>
          <w:szCs w:val="20"/>
        </w:rPr>
        <w:t xml:space="preserve">subcounty population controls, the creation and implementation of an Internet </w:t>
      </w:r>
      <w:r w:rsidR="00994A9D" w:rsidRPr="00FE5415">
        <w:rPr>
          <w:rFonts w:ascii="Times New Roman" w:hAnsi="Times New Roman" w:cs="Times New Roman"/>
          <w:sz w:val="20"/>
          <w:szCs w:val="20"/>
        </w:rPr>
        <w:t xml:space="preserve">interview </w:t>
      </w:r>
      <w:r w:rsidR="00A73C65" w:rsidRPr="00FE5415">
        <w:rPr>
          <w:rFonts w:ascii="Times New Roman" w:hAnsi="Times New Roman" w:cs="Times New Roman"/>
          <w:sz w:val="20"/>
          <w:szCs w:val="20"/>
        </w:rPr>
        <w:t xml:space="preserve">instrument, and </w:t>
      </w:r>
      <w:r w:rsidR="002850F8" w:rsidRPr="00FE5415">
        <w:rPr>
          <w:rFonts w:ascii="Times New Roman" w:hAnsi="Times New Roman" w:cs="Times New Roman"/>
          <w:sz w:val="20"/>
          <w:szCs w:val="20"/>
        </w:rPr>
        <w:t xml:space="preserve">question </w:t>
      </w:r>
      <w:r w:rsidR="00A73C65" w:rsidRPr="00FE5415">
        <w:rPr>
          <w:rFonts w:ascii="Times New Roman" w:hAnsi="Times New Roman" w:cs="Times New Roman"/>
          <w:sz w:val="20"/>
          <w:szCs w:val="20"/>
        </w:rPr>
        <w:t>modifications</w:t>
      </w:r>
      <w:r w:rsidR="002850F8" w:rsidRPr="00FE5415">
        <w:rPr>
          <w:rFonts w:ascii="Times New Roman" w:hAnsi="Times New Roman" w:cs="Times New Roman"/>
          <w:sz w:val="20"/>
          <w:szCs w:val="20"/>
        </w:rPr>
        <w:t xml:space="preserve"> to collect more detailed migration information </w:t>
      </w:r>
      <w:r w:rsidR="005D63C1" w:rsidRPr="00FE5415">
        <w:rPr>
          <w:rFonts w:ascii="Times New Roman" w:hAnsi="Times New Roman" w:cs="Times New Roman"/>
          <w:sz w:val="20"/>
          <w:szCs w:val="20"/>
        </w:rPr>
        <w:t>based on results from a 2006</w:t>
      </w:r>
      <w:r w:rsidR="0016242F" w:rsidRPr="00FE5415">
        <w:rPr>
          <w:rFonts w:ascii="Times New Roman" w:hAnsi="Times New Roman" w:cs="Times New Roman"/>
          <w:sz w:val="20"/>
          <w:szCs w:val="20"/>
        </w:rPr>
        <w:t xml:space="preserve"> content test</w:t>
      </w:r>
      <w:r w:rsidR="00A73C65" w:rsidRPr="00FE5415">
        <w:rPr>
          <w:rFonts w:ascii="Times New Roman" w:hAnsi="Times New Roman" w:cs="Times New Roman"/>
          <w:sz w:val="20"/>
          <w:szCs w:val="20"/>
        </w:rPr>
        <w:t xml:space="preserve">. </w:t>
      </w:r>
      <w:r w:rsidR="009433E0" w:rsidRPr="00FE5415">
        <w:rPr>
          <w:rFonts w:ascii="Times New Roman" w:hAnsi="Times New Roman" w:cs="Times New Roman"/>
          <w:sz w:val="20"/>
          <w:szCs w:val="20"/>
        </w:rPr>
        <w:t>ASEC improvements include updating the sampling frame in 2005</w:t>
      </w:r>
      <w:r w:rsidR="00B505C1" w:rsidRPr="00FE5415">
        <w:rPr>
          <w:rFonts w:ascii="Times New Roman" w:hAnsi="Times New Roman" w:cs="Times New Roman"/>
          <w:sz w:val="20"/>
          <w:szCs w:val="20"/>
        </w:rPr>
        <w:t xml:space="preserve">, </w:t>
      </w:r>
      <w:r w:rsidR="00101BEE" w:rsidRPr="00FE5415">
        <w:rPr>
          <w:rFonts w:ascii="Times New Roman" w:hAnsi="Times New Roman" w:cs="Times New Roman"/>
          <w:sz w:val="20"/>
          <w:szCs w:val="20"/>
        </w:rPr>
        <w:t>altering processing for imputing type of move information</w:t>
      </w:r>
      <w:r w:rsidR="00456EAB" w:rsidRPr="00FE5415">
        <w:rPr>
          <w:rFonts w:ascii="Times New Roman" w:hAnsi="Times New Roman" w:cs="Times New Roman"/>
          <w:sz w:val="20"/>
          <w:szCs w:val="20"/>
        </w:rPr>
        <w:t>,</w:t>
      </w:r>
      <w:r w:rsidR="009433E0" w:rsidRPr="00FE5415">
        <w:rPr>
          <w:rFonts w:ascii="Times New Roman" w:hAnsi="Times New Roman" w:cs="Times New Roman"/>
          <w:sz w:val="20"/>
          <w:szCs w:val="20"/>
        </w:rPr>
        <w:t xml:space="preserve"> and changing the </w:t>
      </w:r>
      <w:r w:rsidR="00B505C1" w:rsidRPr="00FE5415">
        <w:rPr>
          <w:rFonts w:ascii="Times New Roman" w:hAnsi="Times New Roman" w:cs="Times New Roman"/>
          <w:sz w:val="20"/>
          <w:szCs w:val="20"/>
        </w:rPr>
        <w:t xml:space="preserve">schedule of </w:t>
      </w:r>
      <w:r w:rsidR="009433E0" w:rsidRPr="00FE5415">
        <w:rPr>
          <w:rFonts w:ascii="Times New Roman" w:hAnsi="Times New Roman" w:cs="Times New Roman"/>
          <w:sz w:val="20"/>
          <w:szCs w:val="20"/>
        </w:rPr>
        <w:t>sampling fr</w:t>
      </w:r>
      <w:r w:rsidR="00456EAB" w:rsidRPr="00FE5415">
        <w:rPr>
          <w:rFonts w:ascii="Times New Roman" w:hAnsi="Times New Roman" w:cs="Times New Roman"/>
          <w:sz w:val="20"/>
          <w:szCs w:val="20"/>
        </w:rPr>
        <w:t xml:space="preserve">ame </w:t>
      </w:r>
      <w:r w:rsidR="00B505C1" w:rsidRPr="00FE5415">
        <w:rPr>
          <w:rFonts w:ascii="Times New Roman" w:hAnsi="Times New Roman" w:cs="Times New Roman"/>
          <w:sz w:val="20"/>
          <w:szCs w:val="20"/>
        </w:rPr>
        <w:t xml:space="preserve">updates </w:t>
      </w:r>
      <w:r w:rsidR="00456EAB" w:rsidRPr="00FE5415">
        <w:rPr>
          <w:rFonts w:ascii="Times New Roman" w:hAnsi="Times New Roman" w:cs="Times New Roman"/>
          <w:sz w:val="20"/>
          <w:szCs w:val="20"/>
        </w:rPr>
        <w:t>beginning in 2015.</w:t>
      </w:r>
      <w:r w:rsidRPr="00FE5415">
        <w:rPr>
          <w:rStyle w:val="FootnoteReference"/>
          <w:rFonts w:ascii="Times New Roman" w:hAnsi="Times New Roman" w:cs="Times New Roman"/>
          <w:sz w:val="20"/>
          <w:szCs w:val="20"/>
        </w:rPr>
        <w:footnoteReference w:id="4"/>
      </w:r>
      <w:r w:rsidR="00456EAB" w:rsidRPr="00FE5415">
        <w:rPr>
          <w:rFonts w:ascii="Times New Roman" w:hAnsi="Times New Roman" w:cs="Times New Roman"/>
          <w:sz w:val="20"/>
          <w:szCs w:val="20"/>
        </w:rPr>
        <w:t xml:space="preserve"> </w:t>
      </w:r>
      <w:r w:rsidR="002850F8" w:rsidRPr="00FE5415">
        <w:rPr>
          <w:rFonts w:ascii="Times New Roman" w:hAnsi="Times New Roman" w:cs="Times New Roman"/>
          <w:sz w:val="20"/>
          <w:szCs w:val="20"/>
        </w:rPr>
        <w:t xml:space="preserve">Some of these improvements are discussed in additional detail in later sections of this paper. </w:t>
      </w:r>
    </w:p>
    <w:p w:rsidR="00D53F6F" w:rsidRPr="00FE5415" w:rsidRDefault="00D53F6F" w:rsidP="00FC74D8">
      <w:pPr>
        <w:spacing w:line="240" w:lineRule="auto"/>
        <w:contextualSpacing/>
        <w:rPr>
          <w:rFonts w:ascii="Times New Roman" w:hAnsi="Times New Roman" w:cs="Times New Roman"/>
          <w:sz w:val="20"/>
          <w:szCs w:val="20"/>
        </w:rPr>
      </w:pPr>
    </w:p>
    <w:p w:rsidR="00643528" w:rsidRPr="00FE5415" w:rsidRDefault="00E63AC3"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This report</w:t>
      </w:r>
      <w:r w:rsidR="00372586" w:rsidRPr="00FE5415">
        <w:rPr>
          <w:rFonts w:ascii="Times New Roman" w:hAnsi="Times New Roman" w:cs="Times New Roman"/>
          <w:sz w:val="20"/>
          <w:szCs w:val="20"/>
        </w:rPr>
        <w:t xml:space="preserve"> begin</w:t>
      </w:r>
      <w:r w:rsidR="003545BD" w:rsidRPr="00FE5415">
        <w:rPr>
          <w:rFonts w:ascii="Times New Roman" w:hAnsi="Times New Roman" w:cs="Times New Roman"/>
          <w:sz w:val="20"/>
          <w:szCs w:val="20"/>
        </w:rPr>
        <w:t>s</w:t>
      </w:r>
      <w:r w:rsidR="00372586" w:rsidRPr="00FE5415">
        <w:rPr>
          <w:rFonts w:ascii="Times New Roman" w:hAnsi="Times New Roman" w:cs="Times New Roman"/>
          <w:sz w:val="20"/>
          <w:szCs w:val="20"/>
        </w:rPr>
        <w:t xml:space="preserve"> by </w:t>
      </w:r>
      <w:r w:rsidR="003545BD" w:rsidRPr="00FE5415">
        <w:rPr>
          <w:rFonts w:ascii="Times New Roman" w:hAnsi="Times New Roman" w:cs="Times New Roman"/>
          <w:sz w:val="20"/>
          <w:szCs w:val="20"/>
        </w:rPr>
        <w:t xml:space="preserve">providing a </w:t>
      </w:r>
      <w:r w:rsidR="001B6467" w:rsidRPr="00FE5415">
        <w:rPr>
          <w:rFonts w:ascii="Times New Roman" w:hAnsi="Times New Roman" w:cs="Times New Roman"/>
          <w:sz w:val="20"/>
          <w:szCs w:val="20"/>
        </w:rPr>
        <w:t xml:space="preserve">brief history </w:t>
      </w:r>
      <w:r w:rsidR="006901A8" w:rsidRPr="00FE5415">
        <w:rPr>
          <w:rFonts w:ascii="Times New Roman" w:hAnsi="Times New Roman" w:cs="Times New Roman"/>
          <w:sz w:val="20"/>
          <w:szCs w:val="20"/>
        </w:rPr>
        <w:t>of each survey</w:t>
      </w:r>
      <w:r w:rsidR="001B6467" w:rsidRPr="00FE5415">
        <w:rPr>
          <w:rFonts w:ascii="Times New Roman" w:hAnsi="Times New Roman" w:cs="Times New Roman"/>
          <w:sz w:val="20"/>
          <w:szCs w:val="20"/>
        </w:rPr>
        <w:t xml:space="preserve"> and related content highlights</w:t>
      </w:r>
      <w:r w:rsidR="006901A8" w:rsidRPr="00FE5415">
        <w:rPr>
          <w:rFonts w:ascii="Times New Roman" w:hAnsi="Times New Roman" w:cs="Times New Roman"/>
          <w:sz w:val="20"/>
          <w:szCs w:val="20"/>
        </w:rPr>
        <w:t>.</w:t>
      </w:r>
      <w:r w:rsidR="003545BD" w:rsidRPr="00FE5415">
        <w:rPr>
          <w:rFonts w:ascii="Times New Roman" w:hAnsi="Times New Roman" w:cs="Times New Roman"/>
          <w:sz w:val="20"/>
          <w:szCs w:val="20"/>
        </w:rPr>
        <w:t xml:space="preserve"> From t</w:t>
      </w:r>
      <w:r w:rsidR="00775937" w:rsidRPr="00FE5415">
        <w:rPr>
          <w:rFonts w:ascii="Times New Roman" w:hAnsi="Times New Roman" w:cs="Times New Roman"/>
          <w:sz w:val="20"/>
          <w:szCs w:val="20"/>
        </w:rPr>
        <w:t xml:space="preserve">here the national mover rates are </w:t>
      </w:r>
      <w:r w:rsidR="00F66800">
        <w:rPr>
          <w:rFonts w:ascii="Times New Roman" w:hAnsi="Times New Roman" w:cs="Times New Roman"/>
          <w:sz w:val="20"/>
          <w:szCs w:val="20"/>
        </w:rPr>
        <w:t>reviewed</w:t>
      </w:r>
      <w:r w:rsidR="00F66800" w:rsidRPr="00FE5415">
        <w:rPr>
          <w:rFonts w:ascii="Times New Roman" w:hAnsi="Times New Roman" w:cs="Times New Roman"/>
          <w:sz w:val="20"/>
          <w:szCs w:val="20"/>
        </w:rPr>
        <w:t xml:space="preserve"> </w:t>
      </w:r>
      <w:r w:rsidR="00775937" w:rsidRPr="00FE5415">
        <w:rPr>
          <w:rFonts w:ascii="Times New Roman" w:hAnsi="Times New Roman" w:cs="Times New Roman"/>
          <w:sz w:val="20"/>
          <w:szCs w:val="20"/>
        </w:rPr>
        <w:t xml:space="preserve">starting with 2005, the year after the last </w:t>
      </w:r>
      <w:r w:rsidR="00E461B2" w:rsidRPr="00FE5415">
        <w:rPr>
          <w:rFonts w:ascii="Times New Roman" w:hAnsi="Times New Roman" w:cs="Times New Roman"/>
          <w:sz w:val="20"/>
          <w:szCs w:val="20"/>
        </w:rPr>
        <w:t xml:space="preserve">comparison </w:t>
      </w:r>
      <w:r w:rsidR="00775937" w:rsidRPr="00FE5415">
        <w:rPr>
          <w:rFonts w:ascii="Times New Roman" w:hAnsi="Times New Roman" w:cs="Times New Roman"/>
          <w:sz w:val="20"/>
          <w:szCs w:val="20"/>
        </w:rPr>
        <w:t xml:space="preserve">report ended. </w:t>
      </w:r>
      <w:r w:rsidR="001B6467" w:rsidRPr="00FE5415">
        <w:rPr>
          <w:rFonts w:ascii="Times New Roman" w:hAnsi="Times New Roman" w:cs="Times New Roman"/>
          <w:sz w:val="20"/>
          <w:szCs w:val="20"/>
        </w:rPr>
        <w:t>W</w:t>
      </w:r>
      <w:r w:rsidR="006901A8" w:rsidRPr="00FE5415">
        <w:rPr>
          <w:rFonts w:ascii="Times New Roman" w:hAnsi="Times New Roman" w:cs="Times New Roman"/>
          <w:sz w:val="20"/>
          <w:szCs w:val="20"/>
        </w:rPr>
        <w:t xml:space="preserve">e </w:t>
      </w:r>
      <w:r w:rsidR="001B6467" w:rsidRPr="00FE5415">
        <w:rPr>
          <w:rFonts w:ascii="Times New Roman" w:hAnsi="Times New Roman" w:cs="Times New Roman"/>
          <w:sz w:val="20"/>
          <w:szCs w:val="20"/>
        </w:rPr>
        <w:t xml:space="preserve">then </w:t>
      </w:r>
      <w:r w:rsidR="001C0D20" w:rsidRPr="00FE5415">
        <w:rPr>
          <w:rFonts w:ascii="Times New Roman" w:hAnsi="Times New Roman" w:cs="Times New Roman"/>
          <w:sz w:val="20"/>
          <w:szCs w:val="20"/>
        </w:rPr>
        <w:t>discuss differences</w:t>
      </w:r>
      <w:r w:rsidR="00FB328C">
        <w:rPr>
          <w:rFonts w:ascii="Times New Roman" w:hAnsi="Times New Roman" w:cs="Times New Roman"/>
          <w:sz w:val="20"/>
          <w:szCs w:val="20"/>
        </w:rPr>
        <w:t xml:space="preserve"> between the ACS and ASEC</w:t>
      </w:r>
      <w:r w:rsidR="006901A8" w:rsidRPr="00FE5415">
        <w:rPr>
          <w:rFonts w:ascii="Times New Roman" w:hAnsi="Times New Roman" w:cs="Times New Roman"/>
          <w:sz w:val="20"/>
          <w:szCs w:val="20"/>
        </w:rPr>
        <w:t xml:space="preserve"> that may contribute to the divergent migration rates.</w:t>
      </w:r>
      <w:r w:rsidR="00B56560" w:rsidRPr="00FE5415">
        <w:rPr>
          <w:rFonts w:ascii="Times New Roman" w:hAnsi="Times New Roman" w:cs="Times New Roman"/>
          <w:sz w:val="20"/>
          <w:szCs w:val="20"/>
        </w:rPr>
        <w:t xml:space="preserve"> </w:t>
      </w:r>
      <w:r w:rsidR="001B6467" w:rsidRPr="00FE5415">
        <w:rPr>
          <w:rFonts w:ascii="Times New Roman" w:hAnsi="Times New Roman" w:cs="Times New Roman"/>
          <w:sz w:val="20"/>
          <w:szCs w:val="20"/>
        </w:rPr>
        <w:t>Finally, the</w:t>
      </w:r>
      <w:r w:rsidR="00775937" w:rsidRPr="00FE5415">
        <w:rPr>
          <w:rFonts w:ascii="Times New Roman" w:hAnsi="Times New Roman" w:cs="Times New Roman"/>
          <w:sz w:val="20"/>
          <w:szCs w:val="20"/>
        </w:rPr>
        <w:t xml:space="preserve"> report concludes with</w:t>
      </w:r>
      <w:r w:rsidRPr="00FE5415">
        <w:rPr>
          <w:rFonts w:ascii="Times New Roman" w:hAnsi="Times New Roman" w:cs="Times New Roman"/>
          <w:sz w:val="20"/>
          <w:szCs w:val="20"/>
        </w:rPr>
        <w:t xml:space="preserve"> general guidance on when to use migration estimates from each survey.</w:t>
      </w:r>
      <w:r w:rsidR="00775937" w:rsidRPr="00FE5415">
        <w:rPr>
          <w:rFonts w:ascii="Times New Roman" w:hAnsi="Times New Roman" w:cs="Times New Roman"/>
          <w:sz w:val="20"/>
          <w:szCs w:val="20"/>
        </w:rPr>
        <w:t xml:space="preserve"> It should be noted that this is </w:t>
      </w:r>
      <w:r w:rsidR="000C1324" w:rsidRPr="00FE5415">
        <w:rPr>
          <w:rFonts w:ascii="Times New Roman" w:hAnsi="Times New Roman" w:cs="Times New Roman"/>
          <w:sz w:val="20"/>
          <w:szCs w:val="20"/>
        </w:rPr>
        <w:t xml:space="preserve">the first in a series of evaluations planned to help users </w:t>
      </w:r>
      <w:r w:rsidR="007E2BCB" w:rsidRPr="00FE5415">
        <w:rPr>
          <w:rFonts w:ascii="Times New Roman" w:hAnsi="Times New Roman" w:cs="Times New Roman"/>
          <w:sz w:val="20"/>
          <w:szCs w:val="20"/>
        </w:rPr>
        <w:t xml:space="preserve">better </w:t>
      </w:r>
      <w:r w:rsidR="000C1324" w:rsidRPr="00FE5415">
        <w:rPr>
          <w:rFonts w:ascii="Times New Roman" w:hAnsi="Times New Roman" w:cs="Times New Roman"/>
          <w:sz w:val="20"/>
          <w:szCs w:val="20"/>
        </w:rPr>
        <w:t>understand Census Bureau surveys, migration estimates, how they differ</w:t>
      </w:r>
      <w:r w:rsidR="00B56560" w:rsidRPr="00FE5415">
        <w:rPr>
          <w:rFonts w:ascii="Times New Roman" w:hAnsi="Times New Roman" w:cs="Times New Roman"/>
          <w:sz w:val="20"/>
          <w:szCs w:val="20"/>
        </w:rPr>
        <w:t xml:space="preserve">, and </w:t>
      </w:r>
      <w:r w:rsidR="001B6467" w:rsidRPr="00FE5415">
        <w:rPr>
          <w:rFonts w:ascii="Times New Roman" w:hAnsi="Times New Roman" w:cs="Times New Roman"/>
          <w:sz w:val="20"/>
          <w:szCs w:val="20"/>
        </w:rPr>
        <w:t>how to select an estimate to use.</w:t>
      </w:r>
      <w:r w:rsidR="00B56560" w:rsidRPr="00FE5415">
        <w:rPr>
          <w:rFonts w:ascii="Times New Roman" w:hAnsi="Times New Roman" w:cs="Times New Roman"/>
          <w:sz w:val="20"/>
          <w:szCs w:val="20"/>
        </w:rPr>
        <w:t xml:space="preserve"> </w:t>
      </w:r>
    </w:p>
    <w:p w:rsidR="00643528" w:rsidRPr="00FE5415" w:rsidRDefault="00643528" w:rsidP="00FC74D8">
      <w:pPr>
        <w:spacing w:line="240" w:lineRule="auto"/>
        <w:ind w:firstLine="720"/>
        <w:contextualSpacing/>
        <w:rPr>
          <w:rFonts w:ascii="Times New Roman" w:hAnsi="Times New Roman" w:cs="Times New Roman"/>
          <w:sz w:val="20"/>
          <w:szCs w:val="20"/>
        </w:rPr>
      </w:pPr>
    </w:p>
    <w:p w:rsidR="000C1324" w:rsidRPr="00FE5415" w:rsidRDefault="003515D7" w:rsidP="00FC74D8">
      <w:pPr>
        <w:spacing w:line="240" w:lineRule="auto"/>
        <w:rPr>
          <w:rFonts w:ascii="Times New Roman" w:hAnsi="Times New Roman" w:cs="Times New Roman"/>
          <w:b/>
          <w:sz w:val="20"/>
          <w:szCs w:val="20"/>
        </w:rPr>
      </w:pPr>
      <w:r w:rsidRPr="00FE5415">
        <w:rPr>
          <w:rFonts w:ascii="Times New Roman" w:hAnsi="Times New Roman" w:cs="Times New Roman"/>
          <w:b/>
          <w:sz w:val="20"/>
          <w:szCs w:val="20"/>
        </w:rPr>
        <w:t>Survey Background</w:t>
      </w:r>
    </w:p>
    <w:p w:rsidR="002B6795" w:rsidRPr="00FE5415" w:rsidRDefault="00276E5A"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The CPS</w:t>
      </w:r>
      <w:r w:rsidR="002B6795" w:rsidRPr="00FE5415">
        <w:rPr>
          <w:rFonts w:ascii="Times New Roman" w:hAnsi="Times New Roman" w:cs="Times New Roman"/>
          <w:sz w:val="20"/>
          <w:szCs w:val="20"/>
        </w:rPr>
        <w:t xml:space="preserve"> </w:t>
      </w:r>
      <w:r w:rsidRPr="00FE5415">
        <w:rPr>
          <w:rFonts w:ascii="Times New Roman" w:hAnsi="Times New Roman" w:cs="Times New Roman"/>
          <w:sz w:val="20"/>
          <w:szCs w:val="20"/>
        </w:rPr>
        <w:t xml:space="preserve">is a joint </w:t>
      </w:r>
      <w:r w:rsidR="00CA6904" w:rsidRPr="00FE5415">
        <w:rPr>
          <w:rFonts w:ascii="Times New Roman" w:hAnsi="Times New Roman" w:cs="Times New Roman"/>
          <w:sz w:val="20"/>
          <w:szCs w:val="20"/>
        </w:rPr>
        <w:t>effort between the U.S. Census B</w:t>
      </w:r>
      <w:r w:rsidRPr="00FE5415">
        <w:rPr>
          <w:rFonts w:ascii="Times New Roman" w:hAnsi="Times New Roman" w:cs="Times New Roman"/>
          <w:sz w:val="20"/>
          <w:szCs w:val="20"/>
        </w:rPr>
        <w:t>ureau and the Bureau of Labor Statistics</w:t>
      </w:r>
      <w:r w:rsidR="00CA6904" w:rsidRPr="00FE5415">
        <w:rPr>
          <w:rFonts w:ascii="Times New Roman" w:hAnsi="Times New Roman" w:cs="Times New Roman"/>
          <w:sz w:val="20"/>
          <w:szCs w:val="20"/>
        </w:rPr>
        <w:t xml:space="preserve"> </w:t>
      </w:r>
      <w:r w:rsidR="00153578" w:rsidRPr="00FE5415">
        <w:rPr>
          <w:rFonts w:ascii="Times New Roman" w:hAnsi="Times New Roman" w:cs="Times New Roman"/>
          <w:sz w:val="20"/>
          <w:szCs w:val="20"/>
        </w:rPr>
        <w:t xml:space="preserve">primarily </w:t>
      </w:r>
      <w:r w:rsidR="00CA6904" w:rsidRPr="00FE5415">
        <w:rPr>
          <w:rFonts w:ascii="Times New Roman" w:hAnsi="Times New Roman" w:cs="Times New Roman"/>
          <w:sz w:val="20"/>
          <w:szCs w:val="20"/>
        </w:rPr>
        <w:t xml:space="preserve">designed to collect information on labor force statistics. </w:t>
      </w:r>
      <w:r w:rsidR="00345E56" w:rsidRPr="00FE5415">
        <w:rPr>
          <w:rFonts w:ascii="Times New Roman" w:hAnsi="Times New Roman" w:cs="Times New Roman"/>
          <w:sz w:val="20"/>
          <w:szCs w:val="20"/>
        </w:rPr>
        <w:t>It</w:t>
      </w:r>
      <w:r w:rsidR="00153578" w:rsidRPr="00FE5415">
        <w:rPr>
          <w:rFonts w:ascii="Times New Roman" w:hAnsi="Times New Roman" w:cs="Times New Roman"/>
          <w:sz w:val="20"/>
          <w:szCs w:val="20"/>
        </w:rPr>
        <w:t xml:space="preserve"> </w:t>
      </w:r>
      <w:r w:rsidR="00CA6904" w:rsidRPr="00FE5415">
        <w:rPr>
          <w:rFonts w:ascii="Times New Roman" w:hAnsi="Times New Roman" w:cs="Times New Roman"/>
          <w:sz w:val="20"/>
          <w:szCs w:val="20"/>
        </w:rPr>
        <w:t>has collected migration data since 1948</w:t>
      </w:r>
      <w:r w:rsidR="00A311E9">
        <w:rPr>
          <w:rFonts w:ascii="Times New Roman" w:hAnsi="Times New Roman" w:cs="Times New Roman"/>
          <w:sz w:val="20"/>
          <w:szCs w:val="20"/>
        </w:rPr>
        <w:t>.</w:t>
      </w:r>
      <w:r w:rsidR="00A311E9">
        <w:rPr>
          <w:rStyle w:val="FootnoteReference"/>
          <w:rFonts w:ascii="Times New Roman" w:hAnsi="Times New Roman" w:cs="Times New Roman"/>
          <w:sz w:val="20"/>
          <w:szCs w:val="20"/>
        </w:rPr>
        <w:footnoteReference w:id="5"/>
      </w:r>
      <w:r w:rsidR="00345E56" w:rsidRPr="00FE5415">
        <w:rPr>
          <w:rFonts w:ascii="Times New Roman" w:hAnsi="Times New Roman" w:cs="Times New Roman"/>
          <w:sz w:val="20"/>
          <w:szCs w:val="20"/>
        </w:rPr>
        <w:t xml:space="preserve"> The 2013 ASEC</w:t>
      </w:r>
      <w:r w:rsidR="00B74577" w:rsidRPr="00FE5415">
        <w:rPr>
          <w:rFonts w:ascii="Times New Roman" w:hAnsi="Times New Roman" w:cs="Times New Roman"/>
          <w:sz w:val="20"/>
          <w:szCs w:val="20"/>
        </w:rPr>
        <w:t xml:space="preserve"> </w:t>
      </w:r>
      <w:r w:rsidR="00076F22" w:rsidRPr="00FE5415">
        <w:rPr>
          <w:rFonts w:ascii="Times New Roman" w:hAnsi="Times New Roman" w:cs="Times New Roman"/>
          <w:sz w:val="20"/>
          <w:szCs w:val="20"/>
        </w:rPr>
        <w:t>had</w:t>
      </w:r>
      <w:r w:rsidR="00B74577" w:rsidRPr="00FE5415">
        <w:rPr>
          <w:rFonts w:ascii="Times New Roman" w:hAnsi="Times New Roman" w:cs="Times New Roman"/>
          <w:sz w:val="20"/>
          <w:szCs w:val="20"/>
        </w:rPr>
        <w:t xml:space="preserve"> a sample size of roughly 99,000 households. </w:t>
      </w:r>
      <w:r w:rsidR="002B6795" w:rsidRPr="00FE5415">
        <w:rPr>
          <w:rFonts w:ascii="Times New Roman" w:hAnsi="Times New Roman" w:cs="Times New Roman"/>
          <w:sz w:val="20"/>
          <w:szCs w:val="20"/>
        </w:rPr>
        <w:t xml:space="preserve">Data are available at the </w:t>
      </w:r>
      <w:r w:rsidR="00AB5E65" w:rsidRPr="00AB5E65">
        <w:rPr>
          <w:rFonts w:ascii="Times New Roman" w:hAnsi="Times New Roman" w:cs="Times New Roman"/>
          <w:sz w:val="20"/>
          <w:szCs w:val="20"/>
        </w:rPr>
        <w:t>national and regional levels</w:t>
      </w:r>
      <w:r w:rsidR="002B6795" w:rsidRPr="00FE5415">
        <w:rPr>
          <w:rFonts w:ascii="Times New Roman" w:hAnsi="Times New Roman" w:cs="Times New Roman"/>
          <w:sz w:val="20"/>
          <w:szCs w:val="20"/>
        </w:rPr>
        <w:t>.</w:t>
      </w:r>
      <w:r w:rsidR="00AB5E65">
        <w:rPr>
          <w:rStyle w:val="FootnoteReference"/>
          <w:rFonts w:ascii="Times New Roman" w:hAnsi="Times New Roman" w:cs="Times New Roman"/>
          <w:sz w:val="20"/>
          <w:szCs w:val="20"/>
        </w:rPr>
        <w:footnoteReference w:id="6"/>
      </w:r>
      <w:r w:rsidR="002B6795" w:rsidRPr="00FE5415">
        <w:rPr>
          <w:rFonts w:ascii="Times New Roman" w:hAnsi="Times New Roman" w:cs="Times New Roman"/>
          <w:sz w:val="20"/>
          <w:szCs w:val="20"/>
        </w:rPr>
        <w:t xml:space="preserve"> There are two important </w:t>
      </w:r>
      <w:r w:rsidR="00E8009E" w:rsidRPr="00FE5415">
        <w:rPr>
          <w:rFonts w:ascii="Times New Roman" w:hAnsi="Times New Roman" w:cs="Times New Roman"/>
          <w:sz w:val="20"/>
          <w:szCs w:val="20"/>
        </w:rPr>
        <w:t xml:space="preserve">migration </w:t>
      </w:r>
      <w:r w:rsidR="002B6795" w:rsidRPr="00FE5415">
        <w:rPr>
          <w:rFonts w:ascii="Times New Roman" w:hAnsi="Times New Roman" w:cs="Times New Roman"/>
          <w:sz w:val="20"/>
          <w:szCs w:val="20"/>
        </w:rPr>
        <w:t xml:space="preserve">measures offered by ASEC, reason for move and distance moved. Neither </w:t>
      </w:r>
      <w:r w:rsidR="00BF4963" w:rsidRPr="00FE5415">
        <w:rPr>
          <w:rFonts w:ascii="Times New Roman" w:hAnsi="Times New Roman" w:cs="Times New Roman"/>
          <w:sz w:val="20"/>
          <w:szCs w:val="20"/>
        </w:rPr>
        <w:t>is</w:t>
      </w:r>
      <w:r w:rsidR="002B6795" w:rsidRPr="00FE5415">
        <w:rPr>
          <w:rFonts w:ascii="Times New Roman" w:hAnsi="Times New Roman" w:cs="Times New Roman"/>
          <w:sz w:val="20"/>
          <w:szCs w:val="20"/>
        </w:rPr>
        <w:t xml:space="preserve"> currently available through the ACS.</w:t>
      </w:r>
    </w:p>
    <w:p w:rsidR="003007DE" w:rsidRPr="00FE5415" w:rsidRDefault="003007DE" w:rsidP="00FC74D8">
      <w:pPr>
        <w:spacing w:line="240" w:lineRule="auto"/>
        <w:contextualSpacing/>
        <w:rPr>
          <w:rFonts w:ascii="Times New Roman" w:hAnsi="Times New Roman" w:cs="Times New Roman"/>
          <w:sz w:val="20"/>
          <w:szCs w:val="20"/>
        </w:rPr>
      </w:pPr>
    </w:p>
    <w:p w:rsidR="00AA1283" w:rsidRDefault="00070CEC"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With its limited history, the</w:t>
      </w:r>
      <w:r w:rsidR="002B6795" w:rsidRPr="00FE5415">
        <w:rPr>
          <w:rFonts w:ascii="Times New Roman" w:hAnsi="Times New Roman" w:cs="Times New Roman"/>
          <w:sz w:val="20"/>
          <w:szCs w:val="20"/>
        </w:rPr>
        <w:t xml:space="preserve"> ACS cannot highlight long-term trends</w:t>
      </w:r>
      <w:r w:rsidRPr="00FE5415">
        <w:rPr>
          <w:rFonts w:ascii="Times New Roman" w:hAnsi="Times New Roman" w:cs="Times New Roman"/>
          <w:sz w:val="20"/>
          <w:szCs w:val="20"/>
        </w:rPr>
        <w:t xml:space="preserve">. It first reached full implementation in </w:t>
      </w:r>
      <w:r w:rsidR="009D31D9" w:rsidRPr="00FE5415">
        <w:rPr>
          <w:rFonts w:ascii="Times New Roman" w:hAnsi="Times New Roman" w:cs="Times New Roman"/>
          <w:sz w:val="20"/>
          <w:szCs w:val="20"/>
        </w:rPr>
        <w:t xml:space="preserve">2005 for the </w:t>
      </w:r>
      <w:r w:rsidR="006536B0" w:rsidRPr="00FE5415">
        <w:rPr>
          <w:rFonts w:ascii="Times New Roman" w:hAnsi="Times New Roman" w:cs="Times New Roman"/>
          <w:sz w:val="20"/>
          <w:szCs w:val="20"/>
        </w:rPr>
        <w:t>household population</w:t>
      </w:r>
      <w:r w:rsidR="009D31D9" w:rsidRPr="00FE5415">
        <w:rPr>
          <w:rFonts w:ascii="Times New Roman" w:hAnsi="Times New Roman" w:cs="Times New Roman"/>
          <w:sz w:val="20"/>
          <w:szCs w:val="20"/>
        </w:rPr>
        <w:t>.</w:t>
      </w:r>
      <w:r w:rsidR="00EE72DA" w:rsidRPr="00FE5415">
        <w:rPr>
          <w:rStyle w:val="FootnoteReference"/>
          <w:rFonts w:ascii="Times New Roman" w:hAnsi="Times New Roman" w:cs="Times New Roman"/>
          <w:sz w:val="20"/>
          <w:szCs w:val="20"/>
        </w:rPr>
        <w:footnoteReference w:id="7"/>
      </w:r>
      <w:r w:rsidR="006536B0" w:rsidRPr="00FE5415">
        <w:rPr>
          <w:rFonts w:ascii="Times New Roman" w:hAnsi="Times New Roman" w:cs="Times New Roman"/>
          <w:sz w:val="20"/>
          <w:szCs w:val="20"/>
        </w:rPr>
        <w:t xml:space="preserve"> </w:t>
      </w:r>
      <w:r w:rsidR="009D31D9" w:rsidRPr="00FE5415">
        <w:rPr>
          <w:rFonts w:ascii="Times New Roman" w:hAnsi="Times New Roman" w:cs="Times New Roman"/>
          <w:sz w:val="20"/>
          <w:szCs w:val="20"/>
        </w:rPr>
        <w:t>The population li</w:t>
      </w:r>
      <w:r w:rsidR="00DB0684" w:rsidRPr="00FE5415">
        <w:rPr>
          <w:rFonts w:ascii="Times New Roman" w:hAnsi="Times New Roman" w:cs="Times New Roman"/>
          <w:sz w:val="20"/>
          <w:szCs w:val="20"/>
        </w:rPr>
        <w:t>v</w:t>
      </w:r>
      <w:r w:rsidR="009D31D9" w:rsidRPr="00FE5415">
        <w:rPr>
          <w:rFonts w:ascii="Times New Roman" w:hAnsi="Times New Roman" w:cs="Times New Roman"/>
          <w:sz w:val="20"/>
          <w:szCs w:val="20"/>
        </w:rPr>
        <w:t>ing in group quarters was added to the sample in 2006</w:t>
      </w:r>
      <w:r w:rsidR="00581F38" w:rsidRPr="00FE5415">
        <w:rPr>
          <w:rFonts w:ascii="Times New Roman" w:hAnsi="Times New Roman" w:cs="Times New Roman"/>
          <w:sz w:val="20"/>
          <w:szCs w:val="20"/>
        </w:rPr>
        <w:t>.</w:t>
      </w:r>
      <w:r w:rsidR="004D0693" w:rsidRPr="004D0693">
        <w:rPr>
          <w:rStyle w:val="FootnoteReference"/>
          <w:rFonts w:ascii="Times New Roman" w:hAnsi="Times New Roman" w:cs="Times New Roman"/>
          <w:sz w:val="20"/>
          <w:szCs w:val="20"/>
        </w:rPr>
        <w:t xml:space="preserve"> </w:t>
      </w:r>
      <w:r w:rsidR="004D0693" w:rsidRPr="00FE5415">
        <w:rPr>
          <w:rStyle w:val="FootnoteReference"/>
          <w:rFonts w:ascii="Times New Roman" w:hAnsi="Times New Roman" w:cs="Times New Roman"/>
          <w:sz w:val="20"/>
          <w:szCs w:val="20"/>
        </w:rPr>
        <w:footnoteReference w:id="8"/>
      </w:r>
      <w:r w:rsidR="00581F38" w:rsidRPr="00FE5415">
        <w:rPr>
          <w:rFonts w:ascii="Times New Roman" w:hAnsi="Times New Roman" w:cs="Times New Roman"/>
          <w:sz w:val="20"/>
          <w:szCs w:val="20"/>
        </w:rPr>
        <w:t xml:space="preserve"> </w:t>
      </w:r>
      <w:r w:rsidR="00B7288C">
        <w:rPr>
          <w:rFonts w:ascii="Times New Roman" w:hAnsi="Times New Roman" w:cs="Times New Roman"/>
          <w:sz w:val="20"/>
          <w:szCs w:val="20"/>
        </w:rPr>
        <w:t xml:space="preserve">When added together, the household and group quarters populations equate to the total U.S. resident population. </w:t>
      </w:r>
      <w:r w:rsidR="00FF4995" w:rsidRPr="00FE5415">
        <w:rPr>
          <w:rFonts w:ascii="Times New Roman" w:hAnsi="Times New Roman" w:cs="Times New Roman"/>
          <w:sz w:val="20"/>
          <w:szCs w:val="20"/>
        </w:rPr>
        <w:t xml:space="preserve">The survey’s strength is in </w:t>
      </w:r>
      <w:r w:rsidR="002B6795" w:rsidRPr="00FE5415">
        <w:rPr>
          <w:rFonts w:ascii="Times New Roman" w:hAnsi="Times New Roman" w:cs="Times New Roman"/>
          <w:sz w:val="20"/>
          <w:szCs w:val="20"/>
        </w:rPr>
        <w:t>the ability to focus on smaller geographies and populations</w:t>
      </w:r>
      <w:r w:rsidR="00FF4995" w:rsidRPr="00FE5415">
        <w:rPr>
          <w:rFonts w:ascii="Times New Roman" w:hAnsi="Times New Roman" w:cs="Times New Roman"/>
          <w:sz w:val="20"/>
          <w:szCs w:val="20"/>
        </w:rPr>
        <w:t xml:space="preserve">, with its </w:t>
      </w:r>
      <w:r w:rsidR="00847B55" w:rsidRPr="00FE5415">
        <w:rPr>
          <w:rFonts w:ascii="Times New Roman" w:hAnsi="Times New Roman" w:cs="Times New Roman"/>
          <w:sz w:val="20"/>
          <w:szCs w:val="20"/>
        </w:rPr>
        <w:t xml:space="preserve">initial, </w:t>
      </w:r>
      <w:r w:rsidR="00FF4995" w:rsidRPr="00FE5415">
        <w:rPr>
          <w:rFonts w:ascii="Times New Roman" w:hAnsi="Times New Roman" w:cs="Times New Roman"/>
          <w:sz w:val="20"/>
          <w:szCs w:val="20"/>
        </w:rPr>
        <w:t>annual sample size of approximately 3.5 million housing units</w:t>
      </w:r>
      <w:r w:rsidR="002B6795" w:rsidRPr="00FE5415">
        <w:rPr>
          <w:rFonts w:ascii="Times New Roman" w:hAnsi="Times New Roman" w:cs="Times New Roman"/>
          <w:sz w:val="20"/>
          <w:szCs w:val="20"/>
        </w:rPr>
        <w:t xml:space="preserve">. Migration data are available </w:t>
      </w:r>
      <w:r w:rsidR="00076F22" w:rsidRPr="00FE5415">
        <w:rPr>
          <w:rFonts w:ascii="Times New Roman" w:hAnsi="Times New Roman" w:cs="Times New Roman"/>
          <w:sz w:val="20"/>
          <w:szCs w:val="20"/>
        </w:rPr>
        <w:t xml:space="preserve">down </w:t>
      </w:r>
      <w:r w:rsidR="002B6795" w:rsidRPr="00FE5415">
        <w:rPr>
          <w:rFonts w:ascii="Times New Roman" w:hAnsi="Times New Roman" w:cs="Times New Roman"/>
          <w:sz w:val="20"/>
          <w:szCs w:val="20"/>
        </w:rPr>
        <w:t>to the city/town level</w:t>
      </w:r>
      <w:r w:rsidR="004D078E" w:rsidRPr="00FE5415">
        <w:rPr>
          <w:rFonts w:ascii="Times New Roman" w:hAnsi="Times New Roman" w:cs="Times New Roman"/>
          <w:sz w:val="20"/>
          <w:szCs w:val="20"/>
        </w:rPr>
        <w:t xml:space="preserve"> on </w:t>
      </w:r>
      <w:r w:rsidR="003172FF" w:rsidRPr="003172FF">
        <w:rPr>
          <w:rFonts w:ascii="Times New Roman" w:hAnsi="Times New Roman" w:cs="Times New Roman"/>
          <w:sz w:val="20"/>
          <w:szCs w:val="20"/>
        </w:rPr>
        <w:t>American FactFinder</w:t>
      </w:r>
      <w:r w:rsidR="002B6795" w:rsidRPr="00FE5415">
        <w:rPr>
          <w:rFonts w:ascii="Times New Roman" w:hAnsi="Times New Roman" w:cs="Times New Roman"/>
          <w:sz w:val="20"/>
          <w:szCs w:val="20"/>
        </w:rPr>
        <w:t>.</w:t>
      </w:r>
      <w:r w:rsidR="001C51DD">
        <w:rPr>
          <w:rStyle w:val="FootnoteReference"/>
          <w:rFonts w:ascii="Times New Roman" w:hAnsi="Times New Roman" w:cs="Times New Roman"/>
          <w:sz w:val="20"/>
          <w:szCs w:val="20"/>
        </w:rPr>
        <w:footnoteReference w:id="9"/>
      </w:r>
      <w:r w:rsidR="002B6795" w:rsidRPr="00FE5415">
        <w:rPr>
          <w:rFonts w:ascii="Times New Roman" w:hAnsi="Times New Roman" w:cs="Times New Roman"/>
          <w:sz w:val="20"/>
          <w:szCs w:val="20"/>
        </w:rPr>
        <w:t xml:space="preserve"> There are also ACS</w:t>
      </w:r>
      <w:r w:rsidR="00DD6BF3">
        <w:rPr>
          <w:rFonts w:ascii="Times New Roman" w:hAnsi="Times New Roman" w:cs="Times New Roman"/>
          <w:sz w:val="20"/>
          <w:szCs w:val="20"/>
        </w:rPr>
        <w:t xml:space="preserve"> migration</w:t>
      </w:r>
      <w:r w:rsidR="002B6795" w:rsidRPr="00FE5415">
        <w:rPr>
          <w:rFonts w:ascii="Times New Roman" w:hAnsi="Times New Roman" w:cs="Times New Roman"/>
          <w:sz w:val="20"/>
          <w:szCs w:val="20"/>
        </w:rPr>
        <w:t xml:space="preserve"> flow products available down to the county level.</w:t>
      </w:r>
      <w:r w:rsidR="00D40CA1" w:rsidRPr="00FE5415">
        <w:rPr>
          <w:rStyle w:val="FootnoteReference"/>
          <w:rFonts w:ascii="Times New Roman" w:hAnsi="Times New Roman" w:cs="Times New Roman"/>
          <w:sz w:val="20"/>
          <w:szCs w:val="20"/>
        </w:rPr>
        <w:footnoteReference w:id="10"/>
      </w:r>
      <w:r w:rsidR="002B6795" w:rsidRPr="00FE5415">
        <w:rPr>
          <w:rFonts w:ascii="Times New Roman" w:hAnsi="Times New Roman" w:cs="Times New Roman"/>
          <w:sz w:val="20"/>
          <w:szCs w:val="20"/>
        </w:rPr>
        <w:t xml:space="preserve"> This level of detail is too refined for ASEC migration data.</w:t>
      </w:r>
    </w:p>
    <w:p w:rsidR="002B6795" w:rsidRPr="00FE5415" w:rsidRDefault="002B6795"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 </w:t>
      </w:r>
    </w:p>
    <w:p w:rsidR="00205BB3" w:rsidRPr="00FE5415" w:rsidRDefault="007B6639" w:rsidP="00CE08F2">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Before delving into survey differences, it </w:t>
      </w:r>
      <w:r w:rsidR="00DD6BF3">
        <w:rPr>
          <w:rFonts w:ascii="Times New Roman" w:hAnsi="Times New Roman" w:cs="Times New Roman"/>
          <w:sz w:val="20"/>
          <w:szCs w:val="20"/>
        </w:rPr>
        <w:t>is</w:t>
      </w:r>
      <w:r w:rsidRPr="00FE5415">
        <w:rPr>
          <w:rFonts w:ascii="Times New Roman" w:hAnsi="Times New Roman" w:cs="Times New Roman"/>
          <w:sz w:val="20"/>
          <w:szCs w:val="20"/>
        </w:rPr>
        <w:t xml:space="preserve"> helpful to look at the national mover rate by survey from 2005 to 2013. According to data in </w:t>
      </w:r>
      <w:r w:rsidRPr="00FE5415">
        <w:rPr>
          <w:rFonts w:ascii="Times New Roman" w:hAnsi="Times New Roman" w:cs="Times New Roman"/>
          <w:b/>
          <w:sz w:val="20"/>
          <w:szCs w:val="20"/>
        </w:rPr>
        <w:t>Table 1</w:t>
      </w:r>
      <w:r w:rsidRPr="00FE5415">
        <w:rPr>
          <w:rFonts w:ascii="Times New Roman" w:hAnsi="Times New Roman" w:cs="Times New Roman"/>
          <w:sz w:val="20"/>
          <w:szCs w:val="20"/>
        </w:rPr>
        <w:t>, the 2012 to 2013 period had a mover rate of 11.7 percent in ASEC and 15.0 percent in the ACS</w:t>
      </w:r>
      <w:r w:rsidR="0080663D" w:rsidRPr="00FE5415">
        <w:rPr>
          <w:rFonts w:ascii="Times New Roman" w:hAnsi="Times New Roman" w:cs="Times New Roman"/>
          <w:sz w:val="20"/>
          <w:szCs w:val="20"/>
        </w:rPr>
        <w:t xml:space="preserve"> for the population 1 year and over</w:t>
      </w:r>
      <w:r w:rsidRPr="00FE5415">
        <w:rPr>
          <w:rFonts w:ascii="Times New Roman" w:hAnsi="Times New Roman" w:cs="Times New Roman"/>
          <w:sz w:val="20"/>
          <w:szCs w:val="20"/>
        </w:rPr>
        <w:t>.</w:t>
      </w:r>
      <w:r w:rsidR="0015712D" w:rsidRPr="00FE5415">
        <w:rPr>
          <w:rStyle w:val="FootnoteReference"/>
          <w:rFonts w:ascii="Times New Roman" w:hAnsi="Times New Roman" w:cs="Times New Roman"/>
          <w:sz w:val="20"/>
          <w:szCs w:val="20"/>
        </w:rPr>
        <w:footnoteReference w:id="11"/>
      </w:r>
      <w:r w:rsidR="00685E10" w:rsidRPr="00FE5415">
        <w:rPr>
          <w:rFonts w:ascii="Times New Roman" w:hAnsi="Times New Roman" w:cs="Times New Roman"/>
          <w:sz w:val="20"/>
          <w:szCs w:val="20"/>
        </w:rPr>
        <w:t xml:space="preserve"> As the table clearly demonstrates, the gap in the mover rate is not a new </w:t>
      </w:r>
      <w:r w:rsidR="001D4534" w:rsidRPr="00FE5415">
        <w:rPr>
          <w:rFonts w:ascii="Times New Roman" w:hAnsi="Times New Roman" w:cs="Times New Roman"/>
          <w:sz w:val="20"/>
          <w:szCs w:val="20"/>
        </w:rPr>
        <w:t>phenomenon</w:t>
      </w:r>
      <w:r w:rsidR="00685E10" w:rsidRPr="00FE5415">
        <w:rPr>
          <w:rFonts w:ascii="Times New Roman" w:hAnsi="Times New Roman" w:cs="Times New Roman"/>
          <w:sz w:val="20"/>
          <w:szCs w:val="20"/>
        </w:rPr>
        <w:t xml:space="preserve">. </w:t>
      </w:r>
      <w:r w:rsidR="001D4534" w:rsidRPr="00FE5415">
        <w:rPr>
          <w:rFonts w:ascii="Times New Roman" w:hAnsi="Times New Roman" w:cs="Times New Roman"/>
          <w:sz w:val="20"/>
          <w:szCs w:val="20"/>
        </w:rPr>
        <w:t>Quite</w:t>
      </w:r>
      <w:r w:rsidR="00685E10" w:rsidRPr="00FE5415">
        <w:rPr>
          <w:rFonts w:ascii="Times New Roman" w:hAnsi="Times New Roman" w:cs="Times New Roman"/>
          <w:sz w:val="20"/>
          <w:szCs w:val="20"/>
        </w:rPr>
        <w:t xml:space="preserve"> the </w:t>
      </w:r>
      <w:r w:rsidR="00EC7B21" w:rsidRPr="00FE5415">
        <w:rPr>
          <w:rFonts w:ascii="Times New Roman" w:hAnsi="Times New Roman" w:cs="Times New Roman"/>
          <w:sz w:val="20"/>
          <w:szCs w:val="20"/>
        </w:rPr>
        <w:t>contrary, differences in the mover rate a</w:t>
      </w:r>
      <w:r w:rsidR="00600B64" w:rsidRPr="00FE5415">
        <w:rPr>
          <w:rFonts w:ascii="Times New Roman" w:hAnsi="Times New Roman" w:cs="Times New Roman"/>
          <w:sz w:val="20"/>
          <w:szCs w:val="20"/>
        </w:rPr>
        <w:t>re fully expected</w:t>
      </w:r>
      <w:r w:rsidR="00D06108" w:rsidRPr="00FE5415">
        <w:rPr>
          <w:rFonts w:ascii="Times New Roman" w:hAnsi="Times New Roman" w:cs="Times New Roman"/>
          <w:sz w:val="20"/>
          <w:szCs w:val="20"/>
        </w:rPr>
        <w:t xml:space="preserve">. The survey </w:t>
      </w:r>
      <w:r w:rsidR="00724BA4" w:rsidRPr="00FE5415">
        <w:rPr>
          <w:rFonts w:ascii="Times New Roman" w:hAnsi="Times New Roman" w:cs="Times New Roman"/>
          <w:sz w:val="20"/>
          <w:szCs w:val="20"/>
        </w:rPr>
        <w:t xml:space="preserve">differences </w:t>
      </w:r>
      <w:r w:rsidR="00FE788D" w:rsidRPr="00FE5415">
        <w:rPr>
          <w:rFonts w:ascii="Times New Roman" w:hAnsi="Times New Roman" w:cs="Times New Roman"/>
          <w:sz w:val="20"/>
          <w:szCs w:val="20"/>
        </w:rPr>
        <w:t>section below begins</w:t>
      </w:r>
      <w:r w:rsidR="00D06108" w:rsidRPr="00FE5415">
        <w:rPr>
          <w:rFonts w:ascii="Times New Roman" w:hAnsi="Times New Roman" w:cs="Times New Roman"/>
          <w:sz w:val="20"/>
          <w:szCs w:val="20"/>
        </w:rPr>
        <w:t xml:space="preserve"> to answer the </w:t>
      </w:r>
      <w:r w:rsidR="00035AFC" w:rsidRPr="00FE5415">
        <w:rPr>
          <w:rFonts w:ascii="Times New Roman" w:hAnsi="Times New Roman" w:cs="Times New Roman"/>
          <w:sz w:val="20"/>
          <w:szCs w:val="20"/>
        </w:rPr>
        <w:t>all-important</w:t>
      </w:r>
      <w:r w:rsidR="00D06108" w:rsidRPr="00FE5415">
        <w:rPr>
          <w:rFonts w:ascii="Times New Roman" w:hAnsi="Times New Roman" w:cs="Times New Roman"/>
          <w:sz w:val="20"/>
          <w:szCs w:val="20"/>
        </w:rPr>
        <w:t xml:space="preserve"> question of “why”. </w:t>
      </w:r>
    </w:p>
    <w:p w:rsidR="00205BB3" w:rsidRPr="00FE5415" w:rsidRDefault="00205BB3" w:rsidP="00FC74D8">
      <w:pPr>
        <w:spacing w:line="240" w:lineRule="auto"/>
        <w:ind w:firstLine="720"/>
        <w:contextualSpacing/>
        <w:rPr>
          <w:rFonts w:ascii="Times New Roman" w:hAnsi="Times New Roman" w:cs="Times New Roman"/>
          <w:sz w:val="20"/>
          <w:szCs w:val="20"/>
        </w:rPr>
      </w:pPr>
    </w:p>
    <w:tbl>
      <w:tblPr>
        <w:tblW w:w="10185" w:type="dxa"/>
        <w:tblInd w:w="93" w:type="dxa"/>
        <w:tblLayout w:type="fixed"/>
        <w:tblLook w:val="04A0" w:firstRow="1" w:lastRow="0" w:firstColumn="1" w:lastColumn="0" w:noHBand="0" w:noVBand="1"/>
      </w:tblPr>
      <w:tblGrid>
        <w:gridCol w:w="1365"/>
        <w:gridCol w:w="1890"/>
        <w:gridCol w:w="1080"/>
        <w:gridCol w:w="900"/>
        <w:gridCol w:w="720"/>
        <w:gridCol w:w="1980"/>
        <w:gridCol w:w="720"/>
        <w:gridCol w:w="810"/>
        <w:gridCol w:w="720"/>
      </w:tblGrid>
      <w:tr w:rsidR="00315868" w:rsidRPr="00FE5415" w:rsidTr="00A311E9">
        <w:trPr>
          <w:trHeight w:val="300"/>
        </w:trPr>
        <w:tc>
          <w:tcPr>
            <w:tcW w:w="10185" w:type="dxa"/>
            <w:gridSpan w:val="9"/>
            <w:tcBorders>
              <w:top w:val="nil"/>
              <w:left w:val="nil"/>
              <w:bottom w:val="nil"/>
              <w:right w:val="nil"/>
            </w:tcBorders>
            <w:shd w:val="clear" w:color="auto" w:fill="auto"/>
            <w:noWrap/>
            <w:vAlign w:val="bottom"/>
            <w:hideMark/>
          </w:tcPr>
          <w:p w:rsidR="00315868" w:rsidRPr="00FE5415" w:rsidRDefault="00315868">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Table 1. Mover Rate</w:t>
            </w:r>
            <w:r>
              <w:rPr>
                <w:rFonts w:ascii="Times New Roman" w:eastAsia="Times New Roman" w:hAnsi="Times New Roman" w:cs="Times New Roman"/>
                <w:color w:val="000000"/>
                <w:sz w:val="20"/>
                <w:szCs w:val="20"/>
              </w:rPr>
              <w:t xml:space="preserve"> of the Population 1 Year and Over</w:t>
            </w:r>
            <w:r w:rsidRPr="00FE5415">
              <w:rPr>
                <w:rFonts w:ascii="Times New Roman" w:eastAsia="Times New Roman" w:hAnsi="Times New Roman" w:cs="Times New Roman"/>
                <w:color w:val="000000"/>
                <w:sz w:val="20"/>
                <w:szCs w:val="20"/>
              </w:rPr>
              <w:t xml:space="preserve"> by Survey: 2005 to 2013</w:t>
            </w:r>
          </w:p>
        </w:tc>
      </w:tr>
      <w:tr w:rsidR="009032B5" w:rsidRPr="00FE5415" w:rsidTr="00BB0717">
        <w:trPr>
          <w:trHeight w:val="30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Mobility Period</w:t>
            </w:r>
          </w:p>
        </w:tc>
        <w:tc>
          <w:tcPr>
            <w:tcW w:w="4590" w:type="dxa"/>
            <w:gridSpan w:val="4"/>
            <w:tcBorders>
              <w:top w:val="single" w:sz="4" w:space="0" w:color="auto"/>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b/>
                <w:bCs/>
                <w:color w:val="000000"/>
                <w:sz w:val="20"/>
                <w:szCs w:val="20"/>
              </w:rPr>
            </w:pPr>
            <w:r w:rsidRPr="00FE5415">
              <w:rPr>
                <w:rFonts w:ascii="Times New Roman" w:eastAsia="Times New Roman" w:hAnsi="Times New Roman" w:cs="Times New Roman"/>
                <w:b/>
                <w:bCs/>
                <w:color w:val="000000"/>
                <w:sz w:val="20"/>
                <w:szCs w:val="20"/>
              </w:rPr>
              <w:t>ASEC</w:t>
            </w:r>
          </w:p>
        </w:tc>
        <w:tc>
          <w:tcPr>
            <w:tcW w:w="4230" w:type="dxa"/>
            <w:gridSpan w:val="4"/>
            <w:tcBorders>
              <w:top w:val="single" w:sz="4" w:space="0" w:color="auto"/>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b/>
                <w:bCs/>
                <w:color w:val="000000"/>
                <w:sz w:val="20"/>
                <w:szCs w:val="20"/>
              </w:rPr>
            </w:pPr>
            <w:r w:rsidRPr="00FE5415">
              <w:rPr>
                <w:rFonts w:ascii="Times New Roman" w:eastAsia="Times New Roman" w:hAnsi="Times New Roman" w:cs="Times New Roman"/>
                <w:b/>
                <w:bCs/>
                <w:color w:val="000000"/>
                <w:sz w:val="20"/>
                <w:szCs w:val="20"/>
              </w:rPr>
              <w:t>ACS</w:t>
            </w:r>
          </w:p>
        </w:tc>
      </w:tr>
      <w:tr w:rsidR="00DB0684" w:rsidRPr="00FE5415" w:rsidTr="007305F5">
        <w:trPr>
          <w:trHeight w:val="1365"/>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9032B5" w:rsidRPr="00FE5415" w:rsidRDefault="009032B5">
            <w:pPr>
              <w:spacing w:after="0" w:line="240" w:lineRule="auto"/>
              <w:rPr>
                <w:rFonts w:ascii="Times New Roman" w:eastAsia="Times New Roman" w:hAnsi="Times New Roman" w:cs="Times New Roman"/>
                <w:color w:val="000000"/>
                <w:sz w:val="20"/>
                <w:szCs w:val="20"/>
              </w:rPr>
            </w:pPr>
          </w:p>
        </w:tc>
        <w:tc>
          <w:tcPr>
            <w:tcW w:w="1890" w:type="dxa"/>
            <w:tcBorders>
              <w:top w:val="nil"/>
              <w:left w:val="nil"/>
              <w:bottom w:val="single" w:sz="4" w:space="0" w:color="auto"/>
              <w:right w:val="single" w:sz="4" w:space="0" w:color="auto"/>
            </w:tcBorders>
            <w:shd w:val="clear" w:color="auto" w:fill="auto"/>
            <w:vAlign w:val="bottom"/>
            <w:hideMark/>
          </w:tcPr>
          <w:p w:rsidR="009032B5" w:rsidRPr="00FE5415" w:rsidRDefault="00315868" w:rsidP="0031586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Civilian Noninstitutionalized </w:t>
            </w:r>
            <w:r w:rsidR="009032B5" w:rsidRPr="00FE5415">
              <w:rPr>
                <w:rFonts w:ascii="Times New Roman" w:eastAsia="Times New Roman" w:hAnsi="Times New Roman" w:cs="Times New Roman"/>
                <w:color w:val="000000"/>
                <w:sz w:val="20"/>
                <w:szCs w:val="20"/>
              </w:rPr>
              <w:t xml:space="preserve">Population </w:t>
            </w:r>
            <w:r w:rsidR="009032B5" w:rsidRPr="00FE5415">
              <w:rPr>
                <w:rFonts w:ascii="Times New Roman" w:eastAsia="Times New Roman" w:hAnsi="Times New Roman" w:cs="Times New Roman"/>
                <w:color w:val="000000"/>
                <w:sz w:val="20"/>
                <w:szCs w:val="20"/>
              </w:rPr>
              <w:br/>
              <w:t>(in thousands)</w:t>
            </w:r>
          </w:p>
        </w:tc>
        <w:tc>
          <w:tcPr>
            <w:tcW w:w="108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c>
          <w:tcPr>
            <w:tcW w:w="90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Mover Rate</w:t>
            </w:r>
          </w:p>
        </w:tc>
        <w:tc>
          <w:tcPr>
            <w:tcW w:w="72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c>
          <w:tcPr>
            <w:tcW w:w="1980" w:type="dxa"/>
            <w:tcBorders>
              <w:top w:val="nil"/>
              <w:left w:val="nil"/>
              <w:bottom w:val="single" w:sz="4" w:space="0" w:color="auto"/>
              <w:right w:val="single" w:sz="4" w:space="0" w:color="auto"/>
            </w:tcBorders>
            <w:shd w:val="clear" w:color="auto" w:fill="auto"/>
            <w:vAlign w:val="bottom"/>
            <w:hideMark/>
          </w:tcPr>
          <w:p w:rsidR="009032B5" w:rsidRPr="00FE5415" w:rsidRDefault="00315868" w:rsidP="0031586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Resident </w:t>
            </w:r>
            <w:r w:rsidR="009032B5" w:rsidRPr="00FE5415">
              <w:rPr>
                <w:rFonts w:ascii="Times New Roman" w:eastAsia="Times New Roman" w:hAnsi="Times New Roman" w:cs="Times New Roman"/>
                <w:color w:val="000000"/>
                <w:sz w:val="20"/>
                <w:szCs w:val="20"/>
              </w:rPr>
              <w:t xml:space="preserve">Population </w:t>
            </w:r>
            <w:r w:rsidR="009032B5" w:rsidRPr="00FE5415">
              <w:rPr>
                <w:rFonts w:ascii="Times New Roman" w:eastAsia="Times New Roman" w:hAnsi="Times New Roman" w:cs="Times New Roman"/>
                <w:color w:val="000000"/>
                <w:sz w:val="20"/>
                <w:szCs w:val="20"/>
              </w:rPr>
              <w:br/>
              <w:t>(in thousands)</w:t>
            </w:r>
          </w:p>
        </w:tc>
        <w:tc>
          <w:tcPr>
            <w:tcW w:w="72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c>
          <w:tcPr>
            <w:tcW w:w="81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Mover Rate</w:t>
            </w:r>
          </w:p>
        </w:tc>
        <w:tc>
          <w:tcPr>
            <w:tcW w:w="720" w:type="dxa"/>
            <w:tcBorders>
              <w:top w:val="nil"/>
              <w:left w:val="nil"/>
              <w:bottom w:val="single" w:sz="4" w:space="0" w:color="auto"/>
              <w:right w:val="single" w:sz="4" w:space="0" w:color="auto"/>
            </w:tcBorders>
            <w:shd w:val="clear" w:color="auto" w:fill="auto"/>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2012-2013</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307,243</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35</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11.7</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312,433</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15.0</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2011-2012</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304,924</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35</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12.0</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310,213</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26</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15.0</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2010-2011 </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302,640</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35</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11.6</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307,900</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15.2</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2009-2010 </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300,419</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35</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12.5</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305,629</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15.4</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2008-2009</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297,182</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34</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12.5</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302,952</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35</w:t>
            </w:r>
          </w:p>
        </w:tc>
        <w:tc>
          <w:tcPr>
            <w:tcW w:w="810" w:type="dxa"/>
            <w:tcBorders>
              <w:top w:val="nil"/>
              <w:left w:val="nil"/>
              <w:bottom w:val="nil"/>
              <w:right w:val="single" w:sz="4" w:space="0" w:color="auto"/>
            </w:tcBorders>
            <w:shd w:val="clear" w:color="auto" w:fill="auto"/>
            <w:noWrap/>
            <w:vAlign w:val="bottom"/>
            <w:hideMark/>
          </w:tcPr>
          <w:p w:rsidR="009032B5" w:rsidRPr="00FE5415" w:rsidRDefault="00687A47">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15.4</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2007-2008</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294,851</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34</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11.9</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299,926</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15.6</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2006-2007</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292,749</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34</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13.2</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297,545</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28</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16.0</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nil"/>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2005-2006</w:t>
            </w:r>
          </w:p>
        </w:tc>
        <w:tc>
          <w:tcPr>
            <w:tcW w:w="189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289,781</w:t>
            </w:r>
          </w:p>
        </w:tc>
        <w:tc>
          <w:tcPr>
            <w:tcW w:w="10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34</w:t>
            </w:r>
          </w:p>
        </w:tc>
        <w:tc>
          <w:tcPr>
            <w:tcW w:w="90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13.7</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295,345</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w:t>
            </w:r>
          </w:p>
        </w:tc>
        <w:tc>
          <w:tcPr>
            <w:tcW w:w="81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16.8</w:t>
            </w:r>
          </w:p>
        </w:tc>
        <w:tc>
          <w:tcPr>
            <w:tcW w:w="720" w:type="dxa"/>
            <w:tcBorders>
              <w:top w:val="nil"/>
              <w:left w:val="nil"/>
              <w:bottom w:val="nil"/>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DB0684" w:rsidRPr="00FE5415" w:rsidTr="007305F5">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2004-2005</w:t>
            </w:r>
          </w:p>
        </w:tc>
        <w:tc>
          <w:tcPr>
            <w:tcW w:w="189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287,148</w:t>
            </w:r>
          </w:p>
        </w:tc>
        <w:tc>
          <w:tcPr>
            <w:tcW w:w="108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34</w:t>
            </w:r>
          </w:p>
        </w:tc>
        <w:tc>
          <w:tcPr>
            <w:tcW w:w="90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13.9</w:t>
            </w:r>
          </w:p>
        </w:tc>
        <w:tc>
          <w:tcPr>
            <w:tcW w:w="72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0.2</w:t>
            </w:r>
          </w:p>
        </w:tc>
        <w:tc>
          <w:tcPr>
            <w:tcW w:w="198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284,367</w:t>
            </w:r>
          </w:p>
        </w:tc>
        <w:tc>
          <w:tcPr>
            <w:tcW w:w="72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32</w:t>
            </w:r>
          </w:p>
        </w:tc>
        <w:tc>
          <w:tcPr>
            <w:tcW w:w="810" w:type="dxa"/>
            <w:tcBorders>
              <w:top w:val="nil"/>
              <w:left w:val="nil"/>
              <w:bottom w:val="single" w:sz="4" w:space="0" w:color="auto"/>
              <w:right w:val="single" w:sz="4" w:space="0" w:color="auto"/>
            </w:tcBorders>
            <w:shd w:val="clear" w:color="auto" w:fill="auto"/>
            <w:noWrap/>
            <w:vAlign w:val="bottom"/>
            <w:hideMark/>
          </w:tcPr>
          <w:p w:rsidR="009032B5" w:rsidRPr="00FE5415" w:rsidRDefault="007868B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w:t>
            </w:r>
            <w:r w:rsidR="009032B5" w:rsidRPr="00FE5415">
              <w:rPr>
                <w:rFonts w:ascii="Times New Roman" w:eastAsia="Times New Roman" w:hAnsi="Times New Roman" w:cs="Times New Roman"/>
                <w:color w:val="000000"/>
                <w:sz w:val="20"/>
                <w:szCs w:val="20"/>
              </w:rPr>
              <w:t>16.1</w:t>
            </w:r>
            <w:r w:rsidRPr="00FE5415">
              <w:rPr>
                <w:rFonts w:ascii="Times New Roman" w:eastAsia="Times New Roman" w:hAnsi="Times New Roman" w:cs="Times New Roman"/>
                <w:color w:val="000000"/>
                <w:sz w:val="20"/>
                <w:szCs w:val="20"/>
              </w:rPr>
              <w:t>*</w:t>
            </w:r>
          </w:p>
        </w:tc>
        <w:tc>
          <w:tcPr>
            <w:tcW w:w="720" w:type="dxa"/>
            <w:tcBorders>
              <w:top w:val="nil"/>
              <w:left w:val="nil"/>
              <w:bottom w:val="single" w:sz="4" w:space="0" w:color="auto"/>
              <w:right w:val="single" w:sz="4" w:space="0" w:color="auto"/>
            </w:tcBorders>
            <w:shd w:val="clear" w:color="auto" w:fill="auto"/>
            <w:noWrap/>
            <w:vAlign w:val="bottom"/>
            <w:hideMark/>
          </w:tcPr>
          <w:p w:rsidR="009032B5" w:rsidRPr="00FE5415" w:rsidRDefault="009032B5">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0.1</w:t>
            </w:r>
          </w:p>
        </w:tc>
      </w:tr>
      <w:tr w:rsidR="009032B5" w:rsidRPr="00FE5415" w:rsidTr="00BB0717">
        <w:trPr>
          <w:trHeight w:val="690"/>
        </w:trPr>
        <w:tc>
          <w:tcPr>
            <w:tcW w:w="10185" w:type="dxa"/>
            <w:gridSpan w:val="9"/>
            <w:tcBorders>
              <w:top w:val="nil"/>
              <w:left w:val="nil"/>
              <w:bottom w:val="nil"/>
              <w:right w:val="nil"/>
            </w:tcBorders>
            <w:shd w:val="clear" w:color="auto" w:fill="auto"/>
            <w:vAlign w:val="bottom"/>
            <w:hideMark/>
          </w:tcPr>
          <w:p w:rsidR="008053BA" w:rsidRDefault="008053BA">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Group Quarters were not included in the ACS for this year. </w:t>
            </w:r>
          </w:p>
          <w:p w:rsidR="001F0495" w:rsidRDefault="00DD6BF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MOE = Margin of error based on </w:t>
            </w:r>
            <w:r w:rsidR="007856DB">
              <w:rPr>
                <w:rFonts w:ascii="Times New Roman" w:eastAsia="Times New Roman" w:hAnsi="Times New Roman" w:cs="Times New Roman"/>
                <w:color w:val="000000"/>
                <w:sz w:val="20"/>
                <w:szCs w:val="20"/>
              </w:rPr>
              <w:t>90%</w:t>
            </w:r>
            <w:r>
              <w:rPr>
                <w:rFonts w:ascii="Times New Roman" w:eastAsia="Times New Roman" w:hAnsi="Times New Roman" w:cs="Times New Roman"/>
                <w:color w:val="000000"/>
                <w:sz w:val="20"/>
                <w:szCs w:val="20"/>
              </w:rPr>
              <w:t xml:space="preserve"> confidence interval.</w:t>
            </w:r>
          </w:p>
          <w:p w:rsidR="009032B5" w:rsidRPr="00FE5415" w:rsidRDefault="009032B5">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Sources: U.S. Census Bureau, Current Population Survey, Annual Social and Economic Supplement, 2005 to 2013; American Community Survey, 2005 to 2013, 1-year estimates. </w:t>
            </w:r>
          </w:p>
        </w:tc>
      </w:tr>
    </w:tbl>
    <w:p w:rsidR="00A452E7" w:rsidRPr="00FE5415" w:rsidRDefault="00A452E7" w:rsidP="00FC74D8">
      <w:pPr>
        <w:spacing w:line="240" w:lineRule="auto"/>
        <w:rPr>
          <w:rFonts w:ascii="Times New Roman" w:hAnsi="Times New Roman" w:cs="Times New Roman"/>
          <w:b/>
          <w:sz w:val="20"/>
          <w:szCs w:val="20"/>
        </w:rPr>
      </w:pPr>
    </w:p>
    <w:p w:rsidR="00581F38" w:rsidRPr="00FE5415" w:rsidRDefault="00581F38" w:rsidP="00AA1283">
      <w:pPr>
        <w:rPr>
          <w:rFonts w:ascii="Times New Roman" w:hAnsi="Times New Roman" w:cs="Times New Roman"/>
          <w:b/>
          <w:sz w:val="20"/>
          <w:szCs w:val="20"/>
        </w:rPr>
      </w:pPr>
      <w:r w:rsidRPr="00FE5415">
        <w:rPr>
          <w:rFonts w:ascii="Times New Roman" w:hAnsi="Times New Roman" w:cs="Times New Roman"/>
          <w:b/>
          <w:sz w:val="20"/>
          <w:szCs w:val="20"/>
        </w:rPr>
        <w:t>Survey Differences</w:t>
      </w:r>
    </w:p>
    <w:p w:rsidR="009E6E59" w:rsidRPr="00FE5415" w:rsidRDefault="00F106B1" w:rsidP="00FC74D8">
      <w:pPr>
        <w:spacing w:line="240" w:lineRule="auto"/>
        <w:contextualSpacing/>
        <w:rPr>
          <w:rFonts w:ascii="Times New Roman" w:hAnsi="Times New Roman" w:cs="Times New Roman"/>
          <w:sz w:val="20"/>
          <w:szCs w:val="20"/>
        </w:rPr>
      </w:pPr>
      <w:r>
        <w:rPr>
          <w:rFonts w:ascii="Times New Roman" w:hAnsi="Times New Roman" w:cs="Times New Roman"/>
          <w:sz w:val="20"/>
          <w:szCs w:val="20"/>
        </w:rPr>
        <w:t>T</w:t>
      </w:r>
      <w:r w:rsidR="00F91CEA" w:rsidRPr="00FE5415">
        <w:rPr>
          <w:rFonts w:ascii="Times New Roman" w:hAnsi="Times New Roman" w:cs="Times New Roman"/>
          <w:sz w:val="20"/>
          <w:szCs w:val="20"/>
        </w:rPr>
        <w:t>here is not a</w:t>
      </w:r>
      <w:r w:rsidR="00E87AE4" w:rsidRPr="00FE5415">
        <w:rPr>
          <w:rFonts w:ascii="Times New Roman" w:hAnsi="Times New Roman" w:cs="Times New Roman"/>
          <w:sz w:val="20"/>
          <w:szCs w:val="20"/>
        </w:rPr>
        <w:t xml:space="preserve"> single</w:t>
      </w:r>
      <w:r w:rsidR="00F91CEA" w:rsidRPr="00FE5415">
        <w:rPr>
          <w:rFonts w:ascii="Times New Roman" w:hAnsi="Times New Roman" w:cs="Times New Roman"/>
          <w:sz w:val="20"/>
          <w:szCs w:val="20"/>
        </w:rPr>
        <w:t xml:space="preserve">, easily identifiable reason </w:t>
      </w:r>
      <w:r w:rsidR="0036538D" w:rsidRPr="00FE5415">
        <w:rPr>
          <w:rFonts w:ascii="Times New Roman" w:hAnsi="Times New Roman" w:cs="Times New Roman"/>
          <w:sz w:val="20"/>
          <w:szCs w:val="20"/>
        </w:rPr>
        <w:t xml:space="preserve">that explains </w:t>
      </w:r>
      <w:r w:rsidR="00F91CEA" w:rsidRPr="00FE5415">
        <w:rPr>
          <w:rFonts w:ascii="Times New Roman" w:hAnsi="Times New Roman" w:cs="Times New Roman"/>
          <w:sz w:val="20"/>
          <w:szCs w:val="20"/>
        </w:rPr>
        <w:t xml:space="preserve">why migration estimates differ between surveys. Instead, </w:t>
      </w:r>
      <w:r w:rsidR="0016242F" w:rsidRPr="00FE5415">
        <w:rPr>
          <w:rFonts w:ascii="Times New Roman" w:hAnsi="Times New Roman" w:cs="Times New Roman"/>
          <w:sz w:val="20"/>
          <w:szCs w:val="20"/>
        </w:rPr>
        <w:t xml:space="preserve">the interplay of </w:t>
      </w:r>
      <w:r w:rsidR="00A66E4D" w:rsidRPr="00FE5415">
        <w:rPr>
          <w:rFonts w:ascii="Times New Roman" w:hAnsi="Times New Roman" w:cs="Times New Roman"/>
          <w:sz w:val="20"/>
          <w:szCs w:val="20"/>
        </w:rPr>
        <w:t>several factors</w:t>
      </w:r>
      <w:r w:rsidR="00F91CEA" w:rsidRPr="00FE5415">
        <w:rPr>
          <w:rFonts w:ascii="Times New Roman" w:hAnsi="Times New Roman" w:cs="Times New Roman"/>
          <w:sz w:val="20"/>
          <w:szCs w:val="20"/>
        </w:rPr>
        <w:t xml:space="preserve"> </w:t>
      </w:r>
      <w:r w:rsidR="001D5613" w:rsidRPr="00FE5415">
        <w:rPr>
          <w:rFonts w:ascii="Times New Roman" w:hAnsi="Times New Roman" w:cs="Times New Roman"/>
          <w:sz w:val="20"/>
          <w:szCs w:val="20"/>
        </w:rPr>
        <w:t>contributes</w:t>
      </w:r>
      <w:r w:rsidR="00F91CEA" w:rsidRPr="00FE5415">
        <w:rPr>
          <w:rFonts w:ascii="Times New Roman" w:hAnsi="Times New Roman" w:cs="Times New Roman"/>
          <w:sz w:val="20"/>
          <w:szCs w:val="20"/>
        </w:rPr>
        <w:t xml:space="preserve"> to </w:t>
      </w:r>
      <w:r w:rsidR="00BB063C" w:rsidRPr="00FE5415">
        <w:rPr>
          <w:rFonts w:ascii="Times New Roman" w:hAnsi="Times New Roman" w:cs="Times New Roman"/>
          <w:sz w:val="20"/>
          <w:szCs w:val="20"/>
        </w:rPr>
        <w:t>observable</w:t>
      </w:r>
      <w:r w:rsidR="00F91CEA" w:rsidRPr="00FE5415">
        <w:rPr>
          <w:rFonts w:ascii="Times New Roman" w:hAnsi="Times New Roman" w:cs="Times New Roman"/>
          <w:sz w:val="20"/>
          <w:szCs w:val="20"/>
        </w:rPr>
        <w:t xml:space="preserve"> differences. </w:t>
      </w:r>
      <w:r w:rsidR="00BF4C5C">
        <w:rPr>
          <w:rFonts w:ascii="Times New Roman" w:hAnsi="Times New Roman" w:cs="Times New Roman"/>
          <w:sz w:val="20"/>
          <w:szCs w:val="20"/>
        </w:rPr>
        <w:t>Some of the differences may be attributed to design and methodological differences between the ACS and ASEC.</w:t>
      </w:r>
      <w:r w:rsidR="001F0495">
        <w:rPr>
          <w:rStyle w:val="FootnoteReference"/>
          <w:rFonts w:ascii="Times New Roman" w:hAnsi="Times New Roman" w:cs="Times New Roman"/>
          <w:sz w:val="20"/>
          <w:szCs w:val="20"/>
        </w:rPr>
        <w:footnoteReference w:id="12"/>
      </w:r>
      <w:r w:rsidR="00DB428F" w:rsidRPr="00D231D0">
        <w:rPr>
          <w:rFonts w:ascii="Times New Roman" w:hAnsi="Times New Roman" w:cs="Times New Roman"/>
          <w:sz w:val="20"/>
          <w:szCs w:val="20"/>
          <w:vertAlign w:val="superscript"/>
        </w:rPr>
        <w:t>,</w:t>
      </w:r>
      <w:r w:rsidR="00DB428F">
        <w:rPr>
          <w:rStyle w:val="FootnoteReference"/>
          <w:rFonts w:ascii="Times New Roman" w:hAnsi="Times New Roman" w:cs="Times New Roman"/>
          <w:sz w:val="20"/>
          <w:szCs w:val="20"/>
        </w:rPr>
        <w:footnoteReference w:id="13"/>
      </w:r>
      <w:r w:rsidR="00BF4C5C">
        <w:rPr>
          <w:rFonts w:ascii="Times New Roman" w:hAnsi="Times New Roman" w:cs="Times New Roman"/>
          <w:sz w:val="20"/>
          <w:szCs w:val="20"/>
        </w:rPr>
        <w:t xml:space="preserve"> </w:t>
      </w:r>
      <w:r w:rsidR="00F039C5">
        <w:rPr>
          <w:rFonts w:ascii="Times New Roman" w:hAnsi="Times New Roman" w:cs="Times New Roman"/>
          <w:sz w:val="20"/>
          <w:szCs w:val="20"/>
        </w:rPr>
        <w:t xml:space="preserve">The remaining sections </w:t>
      </w:r>
      <w:r w:rsidR="00C22A8C" w:rsidRPr="00FE5415">
        <w:rPr>
          <w:rFonts w:ascii="Times New Roman" w:hAnsi="Times New Roman" w:cs="Times New Roman"/>
          <w:sz w:val="20"/>
          <w:szCs w:val="20"/>
        </w:rPr>
        <w:t>focus on</w:t>
      </w:r>
      <w:r w:rsidR="006F3969" w:rsidRPr="00FE5415">
        <w:rPr>
          <w:rFonts w:ascii="Times New Roman" w:hAnsi="Times New Roman" w:cs="Times New Roman"/>
          <w:sz w:val="20"/>
          <w:szCs w:val="20"/>
        </w:rPr>
        <w:t xml:space="preserve"> </w:t>
      </w:r>
      <w:r w:rsidR="00287C69" w:rsidRPr="00FE5415">
        <w:rPr>
          <w:rFonts w:ascii="Times New Roman" w:hAnsi="Times New Roman" w:cs="Times New Roman"/>
          <w:sz w:val="20"/>
          <w:szCs w:val="20"/>
        </w:rPr>
        <w:t>factors</w:t>
      </w:r>
      <w:r w:rsidR="00C22A8C" w:rsidRPr="00FE5415">
        <w:rPr>
          <w:rFonts w:ascii="Times New Roman" w:hAnsi="Times New Roman" w:cs="Times New Roman"/>
          <w:sz w:val="20"/>
          <w:szCs w:val="20"/>
        </w:rPr>
        <w:t xml:space="preserve"> that we </w:t>
      </w:r>
      <w:r w:rsidR="00C33EC0" w:rsidRPr="00FE5415">
        <w:rPr>
          <w:rFonts w:ascii="Times New Roman" w:hAnsi="Times New Roman" w:cs="Times New Roman"/>
          <w:sz w:val="20"/>
          <w:szCs w:val="20"/>
        </w:rPr>
        <w:t>believe</w:t>
      </w:r>
      <w:r w:rsidR="00C22A8C" w:rsidRPr="00FE5415">
        <w:rPr>
          <w:rFonts w:ascii="Times New Roman" w:hAnsi="Times New Roman" w:cs="Times New Roman"/>
          <w:sz w:val="20"/>
          <w:szCs w:val="20"/>
        </w:rPr>
        <w:t xml:space="preserve"> are important contributors to differences in migration estimates.</w:t>
      </w:r>
    </w:p>
    <w:p w:rsidR="00C22A8C" w:rsidRPr="00FE5415" w:rsidRDefault="00C22A8C" w:rsidP="00FC74D8">
      <w:pPr>
        <w:spacing w:line="240" w:lineRule="auto"/>
        <w:ind w:firstLine="720"/>
        <w:contextualSpacing/>
        <w:rPr>
          <w:rFonts w:ascii="Times New Roman" w:hAnsi="Times New Roman" w:cs="Times New Roman"/>
          <w:sz w:val="20"/>
          <w:szCs w:val="20"/>
        </w:rPr>
      </w:pPr>
      <w:r w:rsidRPr="00FE5415">
        <w:rPr>
          <w:rFonts w:ascii="Times New Roman" w:hAnsi="Times New Roman" w:cs="Times New Roman"/>
          <w:sz w:val="20"/>
          <w:szCs w:val="20"/>
        </w:rPr>
        <w:t xml:space="preserve"> </w:t>
      </w:r>
    </w:p>
    <w:p w:rsidR="003369D5" w:rsidRPr="00FE5415" w:rsidRDefault="003369D5"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Questionnaire Wording</w:t>
      </w:r>
    </w:p>
    <w:p w:rsidR="00A452E7" w:rsidRPr="00FE5415" w:rsidRDefault="00A452E7" w:rsidP="00FC74D8">
      <w:pPr>
        <w:spacing w:line="240" w:lineRule="auto"/>
        <w:contextualSpacing/>
        <w:rPr>
          <w:rFonts w:ascii="Times New Roman" w:hAnsi="Times New Roman" w:cs="Times New Roman"/>
          <w:b/>
          <w:sz w:val="20"/>
          <w:szCs w:val="20"/>
        </w:rPr>
      </w:pPr>
    </w:p>
    <w:p w:rsidR="005E76F4" w:rsidRPr="00FE5415" w:rsidRDefault="0008464F" w:rsidP="00FC74D8">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migration section in b</w:t>
      </w:r>
      <w:r w:rsidR="00852F66" w:rsidRPr="00FE5415">
        <w:rPr>
          <w:rFonts w:ascii="Times New Roman" w:hAnsi="Times New Roman" w:cs="Times New Roman"/>
          <w:sz w:val="20"/>
          <w:szCs w:val="20"/>
        </w:rPr>
        <w:t>oth surveys begin</w:t>
      </w:r>
      <w:r w:rsidRPr="00C0582E">
        <w:rPr>
          <w:rFonts w:ascii="Times New Roman" w:hAnsi="Times New Roman" w:cs="Times New Roman"/>
          <w:sz w:val="20"/>
          <w:szCs w:val="20"/>
        </w:rPr>
        <w:t>s</w:t>
      </w:r>
      <w:r w:rsidR="00852F66" w:rsidRPr="00FE5415">
        <w:rPr>
          <w:rFonts w:ascii="Times New Roman" w:hAnsi="Times New Roman" w:cs="Times New Roman"/>
          <w:sz w:val="20"/>
          <w:szCs w:val="20"/>
        </w:rPr>
        <w:t xml:space="preserve"> with a question about mobility status. The ACS asks</w:t>
      </w:r>
      <w:r w:rsidR="006B21AE" w:rsidRPr="00FE5415">
        <w:rPr>
          <w:rFonts w:ascii="Times New Roman" w:hAnsi="Times New Roman" w:cs="Times New Roman"/>
          <w:sz w:val="20"/>
          <w:szCs w:val="20"/>
        </w:rPr>
        <w:t>,</w:t>
      </w:r>
      <w:r w:rsidR="00852F66" w:rsidRPr="00FE5415">
        <w:rPr>
          <w:rFonts w:ascii="Times New Roman" w:hAnsi="Times New Roman" w:cs="Times New Roman"/>
          <w:sz w:val="20"/>
          <w:szCs w:val="20"/>
        </w:rPr>
        <w:t xml:space="preserve"> “Did this person live in this house or apartment 1 year ago?” </w:t>
      </w:r>
      <w:r>
        <w:rPr>
          <w:rFonts w:ascii="Times New Roman" w:hAnsi="Times New Roman" w:cs="Times New Roman"/>
          <w:sz w:val="20"/>
          <w:szCs w:val="20"/>
        </w:rPr>
        <w:t xml:space="preserve">The </w:t>
      </w:r>
      <w:r w:rsidR="00852F66" w:rsidRPr="00FE5415">
        <w:rPr>
          <w:rFonts w:ascii="Times New Roman" w:hAnsi="Times New Roman" w:cs="Times New Roman"/>
          <w:sz w:val="20"/>
          <w:szCs w:val="20"/>
        </w:rPr>
        <w:t xml:space="preserve">ASEC has </w:t>
      </w:r>
      <w:r w:rsidR="006B21AE" w:rsidRPr="00FE5415">
        <w:rPr>
          <w:rFonts w:ascii="Times New Roman" w:hAnsi="Times New Roman" w:cs="Times New Roman"/>
          <w:sz w:val="20"/>
          <w:szCs w:val="20"/>
        </w:rPr>
        <w:t>slightly different wording, “</w:t>
      </w:r>
      <w:r w:rsidR="00852F66" w:rsidRPr="00FE5415">
        <w:rPr>
          <w:rFonts w:ascii="Times New Roman" w:hAnsi="Times New Roman" w:cs="Times New Roman"/>
          <w:sz w:val="20"/>
          <w:szCs w:val="20"/>
        </w:rPr>
        <w:t xml:space="preserve">Was </w:t>
      </w:r>
      <w:r w:rsidR="007D05C4" w:rsidRPr="00FE5415">
        <w:rPr>
          <w:rFonts w:ascii="Times New Roman" w:hAnsi="Times New Roman" w:cs="Times New Roman"/>
          <w:sz w:val="20"/>
          <w:szCs w:val="20"/>
        </w:rPr>
        <w:t>(</w:t>
      </w:r>
      <w:r w:rsidR="00852F66" w:rsidRPr="00FE5415">
        <w:rPr>
          <w:rFonts w:ascii="Times New Roman" w:hAnsi="Times New Roman" w:cs="Times New Roman"/>
          <w:sz w:val="20"/>
          <w:szCs w:val="20"/>
        </w:rPr>
        <w:t>reference person</w:t>
      </w:r>
      <w:r w:rsidR="007D05C4" w:rsidRPr="00FE5415">
        <w:rPr>
          <w:rFonts w:ascii="Times New Roman" w:hAnsi="Times New Roman" w:cs="Times New Roman"/>
          <w:sz w:val="20"/>
          <w:szCs w:val="20"/>
        </w:rPr>
        <w:t>)</w:t>
      </w:r>
      <w:r w:rsidR="00852F66" w:rsidRPr="00FE5415">
        <w:rPr>
          <w:rFonts w:ascii="Times New Roman" w:hAnsi="Times New Roman" w:cs="Times New Roman"/>
          <w:sz w:val="20"/>
          <w:szCs w:val="20"/>
        </w:rPr>
        <w:t xml:space="preserve"> living in this house or apartment 1 year ago?” A subtle difference, but a difference nonetheless. </w:t>
      </w:r>
      <w:r w:rsidR="003947E3" w:rsidRPr="00FE5415">
        <w:rPr>
          <w:rFonts w:ascii="Times New Roman" w:hAnsi="Times New Roman" w:cs="Times New Roman"/>
          <w:sz w:val="20"/>
          <w:szCs w:val="20"/>
        </w:rPr>
        <w:t>The choices for mobility status also have slight variations</w:t>
      </w:r>
      <w:r w:rsidR="001C283D" w:rsidRPr="00FE5415">
        <w:rPr>
          <w:rFonts w:ascii="Times New Roman" w:hAnsi="Times New Roman" w:cs="Times New Roman"/>
          <w:sz w:val="20"/>
          <w:szCs w:val="20"/>
        </w:rPr>
        <w:t xml:space="preserve"> by survey and mode of response</w:t>
      </w:r>
      <w:r w:rsidR="003947E3" w:rsidRPr="00FE5415">
        <w:rPr>
          <w:rFonts w:ascii="Times New Roman" w:hAnsi="Times New Roman" w:cs="Times New Roman"/>
          <w:sz w:val="20"/>
          <w:szCs w:val="20"/>
        </w:rPr>
        <w:t xml:space="preserve">. </w:t>
      </w:r>
      <w:r w:rsidR="001C283D" w:rsidRPr="00FE5415">
        <w:rPr>
          <w:rFonts w:ascii="Times New Roman" w:hAnsi="Times New Roman" w:cs="Times New Roman"/>
          <w:sz w:val="20"/>
          <w:szCs w:val="20"/>
        </w:rPr>
        <w:t>The ASEC options are</w:t>
      </w:r>
      <w:r>
        <w:rPr>
          <w:rFonts w:ascii="Times New Roman" w:hAnsi="Times New Roman" w:cs="Times New Roman"/>
          <w:sz w:val="20"/>
          <w:szCs w:val="20"/>
        </w:rPr>
        <w:t>:</w:t>
      </w:r>
      <w:r w:rsidR="001C283D" w:rsidRPr="00FE5415">
        <w:rPr>
          <w:rFonts w:ascii="Times New Roman" w:hAnsi="Times New Roman" w:cs="Times New Roman"/>
          <w:sz w:val="20"/>
          <w:szCs w:val="20"/>
        </w:rPr>
        <w:t xml:space="preserve"> </w:t>
      </w:r>
      <w:r w:rsidRPr="003C6AB1">
        <w:rPr>
          <w:rFonts w:ascii="Times New Roman" w:hAnsi="Times New Roman" w:cs="Times New Roman"/>
          <w:i/>
          <w:sz w:val="20"/>
          <w:szCs w:val="20"/>
        </w:rPr>
        <w:t>Yes</w:t>
      </w:r>
      <w:r w:rsidR="001C283D" w:rsidRPr="003C6AB1">
        <w:rPr>
          <w:rFonts w:ascii="Times New Roman" w:hAnsi="Times New Roman" w:cs="Times New Roman"/>
          <w:i/>
          <w:sz w:val="20"/>
          <w:szCs w:val="20"/>
        </w:rPr>
        <w:t>, this house (or apartment)</w:t>
      </w:r>
      <w:r w:rsidR="001C283D" w:rsidRPr="00FE5415">
        <w:rPr>
          <w:rFonts w:ascii="Times New Roman" w:hAnsi="Times New Roman" w:cs="Times New Roman"/>
          <w:sz w:val="20"/>
          <w:szCs w:val="20"/>
        </w:rPr>
        <w:t xml:space="preserve">; </w:t>
      </w:r>
      <w:r w:rsidR="001C283D" w:rsidRPr="003C6AB1">
        <w:rPr>
          <w:rFonts w:ascii="Times New Roman" w:hAnsi="Times New Roman" w:cs="Times New Roman"/>
          <w:i/>
          <w:sz w:val="20"/>
          <w:szCs w:val="20"/>
        </w:rPr>
        <w:t>No, different house/apartment in the</w:t>
      </w:r>
      <w:r w:rsidR="0042423D" w:rsidRPr="003C6AB1">
        <w:rPr>
          <w:rFonts w:ascii="Times New Roman" w:hAnsi="Times New Roman" w:cs="Times New Roman"/>
          <w:i/>
          <w:sz w:val="20"/>
          <w:szCs w:val="20"/>
        </w:rPr>
        <w:t xml:space="preserve"> U.S.</w:t>
      </w:r>
      <w:r w:rsidR="0042423D" w:rsidRPr="00FE5415">
        <w:rPr>
          <w:rFonts w:ascii="Times New Roman" w:hAnsi="Times New Roman" w:cs="Times New Roman"/>
          <w:sz w:val="20"/>
          <w:szCs w:val="20"/>
        </w:rPr>
        <w:t xml:space="preserve">; and </w:t>
      </w:r>
      <w:r w:rsidR="0042423D" w:rsidRPr="003C6AB1">
        <w:rPr>
          <w:rFonts w:ascii="Times New Roman" w:hAnsi="Times New Roman" w:cs="Times New Roman"/>
          <w:i/>
          <w:sz w:val="20"/>
          <w:szCs w:val="20"/>
        </w:rPr>
        <w:t>No, outside the U.S.</w:t>
      </w:r>
      <w:r w:rsidR="0042423D" w:rsidRPr="00FE5415">
        <w:rPr>
          <w:rFonts w:ascii="Times New Roman" w:hAnsi="Times New Roman" w:cs="Times New Roman"/>
          <w:sz w:val="20"/>
          <w:szCs w:val="20"/>
        </w:rPr>
        <w:t xml:space="preserve"> The ACS options closely mirror those of ASEC, with a few notable exceptions. For respondents who complete the ACS by mail, there is an option to select “Person is under 1 year old</w:t>
      </w:r>
      <w:r>
        <w:rPr>
          <w:rFonts w:ascii="Times New Roman" w:hAnsi="Times New Roman" w:cs="Times New Roman"/>
          <w:sz w:val="20"/>
          <w:szCs w:val="20"/>
        </w:rPr>
        <w:t>.</w:t>
      </w:r>
      <w:r w:rsidR="0042423D" w:rsidRPr="00FE5415">
        <w:rPr>
          <w:rFonts w:ascii="Times New Roman" w:hAnsi="Times New Roman" w:cs="Times New Roman"/>
          <w:sz w:val="20"/>
          <w:szCs w:val="20"/>
        </w:rPr>
        <w:t>” All other modes of collection are automated, so they are able to check the age of the respondent and ap</w:t>
      </w:r>
      <w:r w:rsidR="009F7B02" w:rsidRPr="00FE5415">
        <w:rPr>
          <w:rFonts w:ascii="Times New Roman" w:hAnsi="Times New Roman" w:cs="Times New Roman"/>
          <w:sz w:val="20"/>
          <w:szCs w:val="20"/>
        </w:rPr>
        <w:t>ply skip patterns as</w:t>
      </w:r>
      <w:r w:rsidR="00A615B1" w:rsidRPr="00FE5415">
        <w:rPr>
          <w:rFonts w:ascii="Times New Roman" w:hAnsi="Times New Roman" w:cs="Times New Roman"/>
          <w:sz w:val="20"/>
          <w:szCs w:val="20"/>
        </w:rPr>
        <w:t xml:space="preserve"> necessary.</w:t>
      </w:r>
      <w:r w:rsidR="00BF6CCE" w:rsidRPr="00FE5415">
        <w:rPr>
          <w:rStyle w:val="FootnoteReference"/>
          <w:rFonts w:ascii="Times New Roman" w:hAnsi="Times New Roman" w:cs="Times New Roman"/>
          <w:sz w:val="20"/>
          <w:szCs w:val="20"/>
        </w:rPr>
        <w:footnoteReference w:id="14"/>
      </w:r>
      <w:r w:rsidR="00A615B1" w:rsidRPr="00FE5415">
        <w:rPr>
          <w:rFonts w:ascii="Times New Roman" w:hAnsi="Times New Roman" w:cs="Times New Roman"/>
          <w:sz w:val="20"/>
          <w:szCs w:val="20"/>
        </w:rPr>
        <w:t xml:space="preserve"> A second difference applies to the “</w:t>
      </w:r>
      <w:r w:rsidR="008203B7" w:rsidRPr="00FE5415">
        <w:rPr>
          <w:rFonts w:ascii="Times New Roman" w:hAnsi="Times New Roman" w:cs="Times New Roman"/>
          <w:sz w:val="20"/>
          <w:szCs w:val="20"/>
        </w:rPr>
        <w:t xml:space="preserve">No, </w:t>
      </w:r>
      <w:r w:rsidR="00A615B1" w:rsidRPr="00FE5415">
        <w:rPr>
          <w:rFonts w:ascii="Times New Roman" w:hAnsi="Times New Roman" w:cs="Times New Roman"/>
          <w:sz w:val="20"/>
          <w:szCs w:val="20"/>
        </w:rPr>
        <w:t>different house/apartment in the U.S.”</w:t>
      </w:r>
      <w:r w:rsidR="00577816" w:rsidRPr="00FE5415">
        <w:rPr>
          <w:rFonts w:ascii="Times New Roman" w:hAnsi="Times New Roman" w:cs="Times New Roman"/>
          <w:sz w:val="20"/>
          <w:szCs w:val="20"/>
        </w:rPr>
        <w:t xml:space="preserve"> </w:t>
      </w:r>
      <w:r>
        <w:rPr>
          <w:rFonts w:ascii="Times New Roman" w:hAnsi="Times New Roman" w:cs="Times New Roman"/>
          <w:sz w:val="20"/>
          <w:szCs w:val="20"/>
        </w:rPr>
        <w:t xml:space="preserve">response </w:t>
      </w:r>
      <w:r w:rsidR="00577816" w:rsidRPr="00FE5415">
        <w:rPr>
          <w:rFonts w:ascii="Times New Roman" w:hAnsi="Times New Roman" w:cs="Times New Roman"/>
          <w:sz w:val="20"/>
          <w:szCs w:val="20"/>
        </w:rPr>
        <w:t>category</w:t>
      </w:r>
      <w:r w:rsidR="00A615B1" w:rsidRPr="00FE5415">
        <w:rPr>
          <w:rFonts w:ascii="Times New Roman" w:hAnsi="Times New Roman" w:cs="Times New Roman"/>
          <w:sz w:val="20"/>
          <w:szCs w:val="20"/>
        </w:rPr>
        <w:t>.</w:t>
      </w:r>
      <w:r w:rsidR="00577816" w:rsidRPr="00FE5415">
        <w:rPr>
          <w:rFonts w:ascii="Times New Roman" w:hAnsi="Times New Roman" w:cs="Times New Roman"/>
          <w:sz w:val="20"/>
          <w:szCs w:val="20"/>
        </w:rPr>
        <w:t xml:space="preserve"> </w:t>
      </w:r>
      <w:r w:rsidR="008203B7" w:rsidRPr="00FE5415">
        <w:rPr>
          <w:rFonts w:ascii="Times New Roman" w:hAnsi="Times New Roman" w:cs="Times New Roman"/>
          <w:sz w:val="20"/>
          <w:szCs w:val="20"/>
        </w:rPr>
        <w:t>Because the</w:t>
      </w:r>
      <w:r w:rsidR="007A2E45">
        <w:rPr>
          <w:rFonts w:ascii="Times New Roman" w:hAnsi="Times New Roman" w:cs="Times New Roman"/>
          <w:sz w:val="20"/>
          <w:szCs w:val="20"/>
        </w:rPr>
        <w:t>re is</w:t>
      </w:r>
      <w:r w:rsidR="004A7168">
        <w:rPr>
          <w:rFonts w:ascii="Times New Roman" w:hAnsi="Times New Roman" w:cs="Times New Roman"/>
          <w:sz w:val="20"/>
          <w:szCs w:val="20"/>
        </w:rPr>
        <w:t xml:space="preserve"> an equivalent survey to the </w:t>
      </w:r>
      <w:r w:rsidR="007A2E45">
        <w:rPr>
          <w:rFonts w:ascii="Times New Roman" w:hAnsi="Times New Roman" w:cs="Times New Roman"/>
          <w:sz w:val="20"/>
          <w:szCs w:val="20"/>
        </w:rPr>
        <w:t xml:space="preserve">ACS conducted in Puerto Rico, </w:t>
      </w:r>
      <w:r w:rsidR="00724F83">
        <w:rPr>
          <w:rFonts w:ascii="Times New Roman" w:hAnsi="Times New Roman" w:cs="Times New Roman"/>
          <w:sz w:val="20"/>
          <w:szCs w:val="20"/>
        </w:rPr>
        <w:t xml:space="preserve">the </w:t>
      </w:r>
      <w:r w:rsidR="007A2E45">
        <w:rPr>
          <w:rFonts w:ascii="Times New Roman" w:hAnsi="Times New Roman" w:cs="Times New Roman"/>
          <w:sz w:val="20"/>
          <w:szCs w:val="20"/>
        </w:rPr>
        <w:t xml:space="preserve">Puerto Rico Community Survey (PRCS), the </w:t>
      </w:r>
      <w:r w:rsidR="008203B7" w:rsidRPr="00FE5415">
        <w:rPr>
          <w:rFonts w:ascii="Times New Roman" w:hAnsi="Times New Roman" w:cs="Times New Roman"/>
          <w:sz w:val="20"/>
          <w:szCs w:val="20"/>
        </w:rPr>
        <w:t>ACS option appears as “No, different house in the United States or Puerto Rico</w:t>
      </w:r>
      <w:r>
        <w:rPr>
          <w:rFonts w:ascii="Times New Roman" w:hAnsi="Times New Roman" w:cs="Times New Roman"/>
          <w:sz w:val="20"/>
          <w:szCs w:val="20"/>
        </w:rPr>
        <w:t>.</w:t>
      </w:r>
      <w:r w:rsidR="008203B7" w:rsidRPr="00FE5415">
        <w:rPr>
          <w:rFonts w:ascii="Times New Roman" w:hAnsi="Times New Roman" w:cs="Times New Roman"/>
          <w:sz w:val="20"/>
          <w:szCs w:val="20"/>
        </w:rPr>
        <w:t>”</w:t>
      </w:r>
      <w:r w:rsidR="009029B8" w:rsidRPr="00FE5415">
        <w:rPr>
          <w:rStyle w:val="FootnoteReference"/>
          <w:rFonts w:ascii="Times New Roman" w:hAnsi="Times New Roman" w:cs="Times New Roman"/>
          <w:sz w:val="20"/>
          <w:szCs w:val="20"/>
        </w:rPr>
        <w:footnoteReference w:id="15"/>
      </w:r>
      <w:r w:rsidR="009029B8" w:rsidRPr="00FE5415">
        <w:rPr>
          <w:rFonts w:ascii="Times New Roman" w:hAnsi="Times New Roman" w:cs="Times New Roman"/>
          <w:sz w:val="20"/>
          <w:szCs w:val="20"/>
        </w:rPr>
        <w:t xml:space="preserve"> </w:t>
      </w:r>
    </w:p>
    <w:p w:rsidR="00D53F6F" w:rsidRPr="00FE5415" w:rsidRDefault="00D53F6F" w:rsidP="00FC74D8">
      <w:pPr>
        <w:spacing w:line="240" w:lineRule="auto"/>
        <w:contextualSpacing/>
        <w:rPr>
          <w:rFonts w:ascii="Times New Roman" w:hAnsi="Times New Roman" w:cs="Times New Roman"/>
          <w:sz w:val="20"/>
          <w:szCs w:val="20"/>
        </w:rPr>
      </w:pPr>
    </w:p>
    <w:p w:rsidR="005E76F4" w:rsidRPr="00FE5415" w:rsidRDefault="008E2869" w:rsidP="00FC74D8">
      <w:pPr>
        <w:spacing w:line="240" w:lineRule="auto"/>
        <w:contextualSpacing/>
        <w:rPr>
          <w:rFonts w:ascii="Times New Roman" w:hAnsi="Times New Roman" w:cs="Times New Roman"/>
          <w:sz w:val="20"/>
          <w:szCs w:val="20"/>
        </w:rPr>
      </w:pPr>
      <w:r>
        <w:rPr>
          <w:rFonts w:ascii="Times New Roman" w:hAnsi="Times New Roman" w:cs="Times New Roman"/>
          <w:sz w:val="20"/>
          <w:szCs w:val="20"/>
        </w:rPr>
        <w:t>For both surveys, t</w:t>
      </w:r>
      <w:r w:rsidR="005E76F4" w:rsidRPr="00FE5415">
        <w:rPr>
          <w:rFonts w:ascii="Times New Roman" w:hAnsi="Times New Roman" w:cs="Times New Roman"/>
          <w:sz w:val="20"/>
          <w:szCs w:val="20"/>
        </w:rPr>
        <w:t>he second part of the migration question asks for specifics of where t</w:t>
      </w:r>
      <w:r w:rsidR="00B32CBE" w:rsidRPr="00FE5415">
        <w:rPr>
          <w:rFonts w:ascii="Times New Roman" w:hAnsi="Times New Roman" w:cs="Times New Roman"/>
          <w:sz w:val="20"/>
          <w:szCs w:val="20"/>
        </w:rPr>
        <w:t xml:space="preserve">he respondent lived 1 year ago. People who moved from abroad are asked to provide their country of previous residence. Those who moved within the </w:t>
      </w:r>
      <w:r w:rsidR="00626167">
        <w:rPr>
          <w:rFonts w:ascii="Times New Roman" w:hAnsi="Times New Roman" w:cs="Times New Roman"/>
          <w:sz w:val="20"/>
          <w:szCs w:val="20"/>
        </w:rPr>
        <w:t>United States</w:t>
      </w:r>
      <w:r w:rsidR="00B32CBE" w:rsidRPr="00FE5415">
        <w:rPr>
          <w:rFonts w:ascii="Times New Roman" w:hAnsi="Times New Roman" w:cs="Times New Roman"/>
          <w:sz w:val="20"/>
          <w:szCs w:val="20"/>
        </w:rPr>
        <w:t xml:space="preserve"> are asked </w:t>
      </w:r>
      <w:r w:rsidR="00626167">
        <w:rPr>
          <w:rFonts w:ascii="Times New Roman" w:hAnsi="Times New Roman" w:cs="Times New Roman"/>
          <w:sz w:val="20"/>
          <w:szCs w:val="20"/>
        </w:rPr>
        <w:t>for</w:t>
      </w:r>
      <w:r w:rsidR="00626167" w:rsidRPr="00FE5415">
        <w:rPr>
          <w:rFonts w:ascii="Times New Roman" w:hAnsi="Times New Roman" w:cs="Times New Roman"/>
          <w:sz w:val="20"/>
          <w:szCs w:val="20"/>
        </w:rPr>
        <w:t xml:space="preserve"> </w:t>
      </w:r>
      <w:r w:rsidR="00B32CBE" w:rsidRPr="00FE5415">
        <w:rPr>
          <w:rFonts w:ascii="Times New Roman" w:hAnsi="Times New Roman" w:cs="Times New Roman"/>
          <w:sz w:val="20"/>
          <w:szCs w:val="20"/>
        </w:rPr>
        <w:t xml:space="preserve">the </w:t>
      </w:r>
      <w:r w:rsidR="005E76F4" w:rsidRPr="00FE5415">
        <w:rPr>
          <w:rFonts w:ascii="Times New Roman" w:hAnsi="Times New Roman" w:cs="Times New Roman"/>
          <w:sz w:val="20"/>
          <w:szCs w:val="20"/>
        </w:rPr>
        <w:t>place (i.e. city or township), county, state, and zip code</w:t>
      </w:r>
      <w:r w:rsidR="00B32CBE" w:rsidRPr="00FE5415">
        <w:rPr>
          <w:rFonts w:ascii="Times New Roman" w:hAnsi="Times New Roman" w:cs="Times New Roman"/>
          <w:sz w:val="20"/>
          <w:szCs w:val="20"/>
        </w:rPr>
        <w:t xml:space="preserve"> of their previous residence</w:t>
      </w:r>
      <w:r w:rsidR="005E76F4" w:rsidRPr="00FE5415">
        <w:rPr>
          <w:rFonts w:ascii="Times New Roman" w:hAnsi="Times New Roman" w:cs="Times New Roman"/>
          <w:sz w:val="20"/>
          <w:szCs w:val="20"/>
        </w:rPr>
        <w:t>.</w:t>
      </w:r>
      <w:r w:rsidR="008E6705">
        <w:rPr>
          <w:rStyle w:val="FootnoteReference"/>
          <w:rFonts w:ascii="Times New Roman" w:hAnsi="Times New Roman" w:cs="Times New Roman"/>
          <w:sz w:val="20"/>
          <w:szCs w:val="20"/>
        </w:rPr>
        <w:footnoteReference w:id="16"/>
      </w:r>
      <w:r w:rsidR="0069755E" w:rsidRPr="00FE5415">
        <w:rPr>
          <w:rFonts w:ascii="Times New Roman" w:hAnsi="Times New Roman" w:cs="Times New Roman"/>
          <w:sz w:val="20"/>
          <w:szCs w:val="20"/>
        </w:rPr>
        <w:t xml:space="preserve"> </w:t>
      </w:r>
      <w:r w:rsidR="00626167">
        <w:rPr>
          <w:rFonts w:ascii="Times New Roman" w:hAnsi="Times New Roman" w:cs="Times New Roman"/>
          <w:sz w:val="20"/>
          <w:szCs w:val="20"/>
        </w:rPr>
        <w:t xml:space="preserve">The </w:t>
      </w:r>
      <w:r w:rsidR="0069755E" w:rsidRPr="00FE5415">
        <w:rPr>
          <w:rFonts w:ascii="Times New Roman" w:hAnsi="Times New Roman" w:cs="Times New Roman"/>
          <w:sz w:val="20"/>
          <w:szCs w:val="20"/>
        </w:rPr>
        <w:t xml:space="preserve">ASEC asks two additional migration questions not found on the ACS. One asks </w:t>
      </w:r>
      <w:r w:rsidR="00EA57F4" w:rsidRPr="00FE5415">
        <w:rPr>
          <w:rFonts w:ascii="Times New Roman" w:hAnsi="Times New Roman" w:cs="Times New Roman"/>
          <w:sz w:val="20"/>
          <w:szCs w:val="20"/>
        </w:rPr>
        <w:t>about</w:t>
      </w:r>
      <w:r w:rsidR="0069755E" w:rsidRPr="00FE5415">
        <w:rPr>
          <w:rFonts w:ascii="Times New Roman" w:hAnsi="Times New Roman" w:cs="Times New Roman"/>
          <w:sz w:val="20"/>
          <w:szCs w:val="20"/>
        </w:rPr>
        <w:t xml:space="preserve"> the respondent</w:t>
      </w:r>
      <w:r w:rsidR="00EA57F4" w:rsidRPr="00FE5415">
        <w:rPr>
          <w:rFonts w:ascii="Times New Roman" w:hAnsi="Times New Roman" w:cs="Times New Roman"/>
          <w:sz w:val="20"/>
          <w:szCs w:val="20"/>
        </w:rPr>
        <w:t>’s main reason for moving. The other asks whether the respondent</w:t>
      </w:r>
      <w:r w:rsidR="0069755E" w:rsidRPr="00FE5415">
        <w:rPr>
          <w:rFonts w:ascii="Times New Roman" w:hAnsi="Times New Roman" w:cs="Times New Roman"/>
          <w:sz w:val="20"/>
          <w:szCs w:val="20"/>
        </w:rPr>
        <w:t xml:space="preserve"> lived within the city limits of their previous place of residence</w:t>
      </w:r>
      <w:r w:rsidR="00EA57F4" w:rsidRPr="00FE5415">
        <w:rPr>
          <w:rFonts w:ascii="Times New Roman" w:hAnsi="Times New Roman" w:cs="Times New Roman"/>
          <w:sz w:val="20"/>
          <w:szCs w:val="20"/>
        </w:rPr>
        <w:t xml:space="preserve">. The ACS does not need to ask about city limits because it collects </w:t>
      </w:r>
      <w:r w:rsidR="00BC3E0E" w:rsidRPr="00FE5415">
        <w:rPr>
          <w:rFonts w:ascii="Times New Roman" w:hAnsi="Times New Roman" w:cs="Times New Roman"/>
          <w:sz w:val="20"/>
          <w:szCs w:val="20"/>
        </w:rPr>
        <w:t>more detailed address information</w:t>
      </w:r>
      <w:r w:rsidR="001B66B7" w:rsidRPr="00FE5415">
        <w:rPr>
          <w:rFonts w:ascii="Times New Roman" w:hAnsi="Times New Roman" w:cs="Times New Roman"/>
          <w:sz w:val="20"/>
          <w:szCs w:val="20"/>
        </w:rPr>
        <w:t xml:space="preserve"> by way of </w:t>
      </w:r>
      <w:r w:rsidR="00771223">
        <w:rPr>
          <w:rFonts w:ascii="Times New Roman" w:hAnsi="Times New Roman" w:cs="Times New Roman"/>
          <w:sz w:val="20"/>
          <w:szCs w:val="20"/>
        </w:rPr>
        <w:t xml:space="preserve">house or unit </w:t>
      </w:r>
      <w:r w:rsidR="001B66B7" w:rsidRPr="00FE5415">
        <w:rPr>
          <w:rFonts w:ascii="Times New Roman" w:hAnsi="Times New Roman" w:cs="Times New Roman"/>
          <w:sz w:val="20"/>
          <w:szCs w:val="20"/>
        </w:rPr>
        <w:t>number and street name</w:t>
      </w:r>
      <w:r w:rsidR="00BC3E0E" w:rsidRPr="00FE5415">
        <w:rPr>
          <w:rFonts w:ascii="Times New Roman" w:hAnsi="Times New Roman" w:cs="Times New Roman"/>
          <w:sz w:val="20"/>
          <w:szCs w:val="20"/>
        </w:rPr>
        <w:t>.</w:t>
      </w:r>
      <w:r w:rsidR="00D236A9" w:rsidRPr="00FE5415">
        <w:rPr>
          <w:rStyle w:val="FootnoteReference"/>
          <w:rFonts w:ascii="Times New Roman" w:hAnsi="Times New Roman" w:cs="Times New Roman"/>
          <w:sz w:val="20"/>
          <w:szCs w:val="20"/>
        </w:rPr>
        <w:footnoteReference w:id="17"/>
      </w:r>
      <w:r w:rsidR="00BC3E0E" w:rsidRPr="00FE5415">
        <w:rPr>
          <w:rFonts w:ascii="Times New Roman" w:hAnsi="Times New Roman" w:cs="Times New Roman"/>
          <w:sz w:val="20"/>
          <w:szCs w:val="20"/>
        </w:rPr>
        <w:t xml:space="preserve"> </w:t>
      </w:r>
      <w:r w:rsidR="006A10BF" w:rsidRPr="00FE5415">
        <w:rPr>
          <w:rFonts w:ascii="Times New Roman" w:hAnsi="Times New Roman" w:cs="Times New Roman"/>
          <w:sz w:val="20"/>
          <w:szCs w:val="20"/>
        </w:rPr>
        <w:t xml:space="preserve">This added information is part of what allows the ACS to produce tables down to the place level. </w:t>
      </w:r>
      <w:r w:rsidR="005E76F4" w:rsidRPr="00FE5415">
        <w:rPr>
          <w:rFonts w:ascii="Times New Roman" w:hAnsi="Times New Roman" w:cs="Times New Roman"/>
          <w:sz w:val="20"/>
          <w:szCs w:val="20"/>
        </w:rPr>
        <w:t xml:space="preserve"> </w:t>
      </w:r>
    </w:p>
    <w:p w:rsidR="00B64625" w:rsidRPr="00FE5415" w:rsidRDefault="00B64625" w:rsidP="00FC74D8">
      <w:pPr>
        <w:spacing w:line="240" w:lineRule="auto"/>
        <w:contextualSpacing/>
        <w:rPr>
          <w:rFonts w:ascii="Times New Roman" w:hAnsi="Times New Roman" w:cs="Times New Roman"/>
          <w:sz w:val="20"/>
          <w:szCs w:val="20"/>
        </w:rPr>
      </w:pPr>
    </w:p>
    <w:p w:rsidR="009E6E59" w:rsidRPr="00FE5415" w:rsidRDefault="009E6E59"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 xml:space="preserve">Modes of Data Collection </w:t>
      </w:r>
    </w:p>
    <w:p w:rsidR="00A452E7" w:rsidRPr="00FE5415" w:rsidRDefault="00A452E7" w:rsidP="00FC74D8">
      <w:pPr>
        <w:spacing w:line="240" w:lineRule="auto"/>
        <w:contextualSpacing/>
        <w:rPr>
          <w:rFonts w:ascii="Times New Roman" w:hAnsi="Times New Roman" w:cs="Times New Roman"/>
          <w:b/>
          <w:sz w:val="20"/>
          <w:szCs w:val="20"/>
        </w:rPr>
      </w:pPr>
    </w:p>
    <w:p w:rsidR="00BD572D" w:rsidRPr="00FE5415" w:rsidRDefault="00C33EC0"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w:t>
      </w:r>
      <w:r w:rsidR="009E6E59" w:rsidRPr="00FE5415">
        <w:rPr>
          <w:rFonts w:ascii="Times New Roman" w:hAnsi="Times New Roman" w:cs="Times New Roman"/>
          <w:sz w:val="20"/>
          <w:szCs w:val="20"/>
        </w:rPr>
        <w:t>wo modes</w:t>
      </w:r>
      <w:r w:rsidR="00292991" w:rsidRPr="00FE5415">
        <w:rPr>
          <w:rFonts w:ascii="Times New Roman" w:hAnsi="Times New Roman" w:cs="Times New Roman"/>
          <w:sz w:val="20"/>
          <w:szCs w:val="20"/>
        </w:rPr>
        <w:t xml:space="preserve"> of data collection</w:t>
      </w:r>
      <w:r w:rsidR="0084417E" w:rsidRPr="00FE5415">
        <w:rPr>
          <w:rFonts w:ascii="Times New Roman" w:hAnsi="Times New Roman" w:cs="Times New Roman"/>
          <w:sz w:val="20"/>
          <w:szCs w:val="20"/>
        </w:rPr>
        <w:t xml:space="preserve"> are used</w:t>
      </w:r>
      <w:r w:rsidR="00292991" w:rsidRPr="00FE5415">
        <w:rPr>
          <w:rFonts w:ascii="Times New Roman" w:hAnsi="Times New Roman" w:cs="Times New Roman"/>
          <w:sz w:val="20"/>
          <w:szCs w:val="20"/>
        </w:rPr>
        <w:t xml:space="preserve"> for ASEC</w:t>
      </w:r>
      <w:r w:rsidR="00373A57">
        <w:rPr>
          <w:rFonts w:ascii="Times New Roman" w:hAnsi="Times New Roman" w:cs="Times New Roman"/>
          <w:sz w:val="20"/>
          <w:szCs w:val="20"/>
        </w:rPr>
        <w:t>:</w:t>
      </w:r>
      <w:r w:rsidR="00406B4A" w:rsidRPr="00FE5415">
        <w:rPr>
          <w:rFonts w:ascii="Times New Roman" w:hAnsi="Times New Roman" w:cs="Times New Roman"/>
          <w:sz w:val="20"/>
          <w:szCs w:val="20"/>
        </w:rPr>
        <w:t xml:space="preserve"> </w:t>
      </w:r>
      <w:r w:rsidR="005333ED" w:rsidRPr="00FE5415">
        <w:rPr>
          <w:rFonts w:ascii="Times New Roman" w:hAnsi="Times New Roman" w:cs="Times New Roman"/>
          <w:sz w:val="20"/>
          <w:szCs w:val="20"/>
        </w:rPr>
        <w:t>computed</w:t>
      </w:r>
      <w:r w:rsidR="005333ED">
        <w:rPr>
          <w:rFonts w:ascii="Times New Roman" w:hAnsi="Times New Roman" w:cs="Times New Roman"/>
          <w:sz w:val="20"/>
          <w:szCs w:val="20"/>
        </w:rPr>
        <w:t>-</w:t>
      </w:r>
      <w:r w:rsidR="00406B4A" w:rsidRPr="00FE5415">
        <w:rPr>
          <w:rFonts w:ascii="Times New Roman" w:hAnsi="Times New Roman" w:cs="Times New Roman"/>
          <w:sz w:val="20"/>
          <w:szCs w:val="20"/>
        </w:rPr>
        <w:t xml:space="preserve">assisted </w:t>
      </w:r>
      <w:r w:rsidR="00292991" w:rsidRPr="00FE5415">
        <w:rPr>
          <w:rFonts w:ascii="Times New Roman" w:hAnsi="Times New Roman" w:cs="Times New Roman"/>
          <w:sz w:val="20"/>
          <w:szCs w:val="20"/>
        </w:rPr>
        <w:t xml:space="preserve">telephone </w:t>
      </w:r>
      <w:r w:rsidR="0084417E" w:rsidRPr="00FE5415">
        <w:rPr>
          <w:rFonts w:ascii="Times New Roman" w:hAnsi="Times New Roman" w:cs="Times New Roman"/>
          <w:sz w:val="20"/>
          <w:szCs w:val="20"/>
        </w:rPr>
        <w:t xml:space="preserve">interviews (CATI) </w:t>
      </w:r>
      <w:r w:rsidR="00292991" w:rsidRPr="00FE5415">
        <w:rPr>
          <w:rFonts w:ascii="Times New Roman" w:hAnsi="Times New Roman" w:cs="Times New Roman"/>
          <w:sz w:val="20"/>
          <w:szCs w:val="20"/>
        </w:rPr>
        <w:t xml:space="preserve">and </w:t>
      </w:r>
      <w:r w:rsidR="005333ED" w:rsidRPr="00FE5415">
        <w:rPr>
          <w:rFonts w:ascii="Times New Roman" w:hAnsi="Times New Roman" w:cs="Times New Roman"/>
          <w:sz w:val="20"/>
          <w:szCs w:val="20"/>
        </w:rPr>
        <w:t>computer</w:t>
      </w:r>
      <w:r w:rsidR="005333ED">
        <w:rPr>
          <w:rFonts w:ascii="Times New Roman" w:hAnsi="Times New Roman" w:cs="Times New Roman"/>
          <w:sz w:val="20"/>
          <w:szCs w:val="20"/>
        </w:rPr>
        <w:t>-</w:t>
      </w:r>
      <w:r w:rsidR="00292991" w:rsidRPr="00FE5415">
        <w:rPr>
          <w:rFonts w:ascii="Times New Roman" w:hAnsi="Times New Roman" w:cs="Times New Roman"/>
          <w:sz w:val="20"/>
          <w:szCs w:val="20"/>
        </w:rPr>
        <w:t xml:space="preserve">assisted in-person </w:t>
      </w:r>
      <w:r w:rsidR="00982C54" w:rsidRPr="00FE5415">
        <w:rPr>
          <w:rFonts w:ascii="Times New Roman" w:hAnsi="Times New Roman" w:cs="Times New Roman"/>
          <w:sz w:val="20"/>
          <w:szCs w:val="20"/>
        </w:rPr>
        <w:t>interviews (</w:t>
      </w:r>
      <w:r w:rsidR="0084417E" w:rsidRPr="00FE5415">
        <w:rPr>
          <w:rFonts w:ascii="Times New Roman" w:hAnsi="Times New Roman" w:cs="Times New Roman"/>
          <w:sz w:val="20"/>
          <w:szCs w:val="20"/>
        </w:rPr>
        <w:t>CAPI)</w:t>
      </w:r>
      <w:r w:rsidR="00BD572D" w:rsidRPr="00FE5415">
        <w:rPr>
          <w:rFonts w:ascii="Times New Roman" w:hAnsi="Times New Roman" w:cs="Times New Roman"/>
          <w:sz w:val="20"/>
          <w:szCs w:val="20"/>
        </w:rPr>
        <w:t>.</w:t>
      </w:r>
      <w:r w:rsidR="00292991" w:rsidRPr="00FE5415">
        <w:rPr>
          <w:rFonts w:ascii="Times New Roman" w:hAnsi="Times New Roman" w:cs="Times New Roman"/>
          <w:sz w:val="20"/>
          <w:szCs w:val="20"/>
        </w:rPr>
        <w:t xml:space="preserve"> </w:t>
      </w:r>
      <w:r w:rsidR="00BD572D" w:rsidRPr="00FE5415">
        <w:rPr>
          <w:rFonts w:ascii="Times New Roman" w:hAnsi="Times New Roman" w:cs="Times New Roman"/>
          <w:sz w:val="20"/>
          <w:szCs w:val="20"/>
        </w:rPr>
        <w:t>T</w:t>
      </w:r>
      <w:r w:rsidR="00E41372" w:rsidRPr="00FE5415">
        <w:rPr>
          <w:rFonts w:ascii="Times New Roman" w:hAnsi="Times New Roman" w:cs="Times New Roman"/>
          <w:sz w:val="20"/>
          <w:szCs w:val="20"/>
        </w:rPr>
        <w:t xml:space="preserve">he </w:t>
      </w:r>
      <w:r w:rsidR="00292991" w:rsidRPr="00FE5415">
        <w:rPr>
          <w:rFonts w:ascii="Times New Roman" w:hAnsi="Times New Roman" w:cs="Times New Roman"/>
          <w:sz w:val="20"/>
          <w:szCs w:val="20"/>
        </w:rPr>
        <w:t>four</w:t>
      </w:r>
      <w:r w:rsidR="00FE32D8" w:rsidRPr="00FE5415">
        <w:rPr>
          <w:rFonts w:ascii="Times New Roman" w:hAnsi="Times New Roman" w:cs="Times New Roman"/>
          <w:sz w:val="20"/>
          <w:szCs w:val="20"/>
        </w:rPr>
        <w:t xml:space="preserve"> main </w:t>
      </w:r>
      <w:r w:rsidR="00E41372" w:rsidRPr="00FE5415">
        <w:rPr>
          <w:rFonts w:ascii="Times New Roman" w:hAnsi="Times New Roman" w:cs="Times New Roman"/>
          <w:sz w:val="20"/>
          <w:szCs w:val="20"/>
        </w:rPr>
        <w:t xml:space="preserve">ACS collection </w:t>
      </w:r>
      <w:r w:rsidR="009E6E59" w:rsidRPr="00FE5415">
        <w:rPr>
          <w:rFonts w:ascii="Times New Roman" w:hAnsi="Times New Roman" w:cs="Times New Roman"/>
          <w:sz w:val="20"/>
          <w:szCs w:val="20"/>
        </w:rPr>
        <w:t>mode</w:t>
      </w:r>
      <w:r w:rsidR="00292991" w:rsidRPr="00FE5415">
        <w:rPr>
          <w:rFonts w:ascii="Times New Roman" w:hAnsi="Times New Roman" w:cs="Times New Roman"/>
          <w:sz w:val="20"/>
          <w:szCs w:val="20"/>
        </w:rPr>
        <w:t xml:space="preserve">s </w:t>
      </w:r>
      <w:r w:rsidRPr="00FE5415">
        <w:rPr>
          <w:rFonts w:ascii="Times New Roman" w:hAnsi="Times New Roman" w:cs="Times New Roman"/>
          <w:sz w:val="20"/>
          <w:szCs w:val="20"/>
        </w:rPr>
        <w:t xml:space="preserve">are </w:t>
      </w:r>
      <w:r w:rsidR="00C52E66" w:rsidRPr="00FE5415">
        <w:rPr>
          <w:rFonts w:ascii="Times New Roman" w:hAnsi="Times New Roman" w:cs="Times New Roman"/>
          <w:sz w:val="20"/>
          <w:szCs w:val="20"/>
        </w:rPr>
        <w:t xml:space="preserve">Internet, </w:t>
      </w:r>
      <w:r w:rsidR="00292991" w:rsidRPr="00FE5415">
        <w:rPr>
          <w:rFonts w:ascii="Times New Roman" w:hAnsi="Times New Roman" w:cs="Times New Roman"/>
          <w:sz w:val="20"/>
          <w:szCs w:val="20"/>
        </w:rPr>
        <w:t xml:space="preserve">mail, CATI, </w:t>
      </w:r>
      <w:r w:rsidR="00C52E66" w:rsidRPr="00FE5415">
        <w:rPr>
          <w:rFonts w:ascii="Times New Roman" w:hAnsi="Times New Roman" w:cs="Times New Roman"/>
          <w:sz w:val="20"/>
          <w:szCs w:val="20"/>
        </w:rPr>
        <w:t>and CAPI.</w:t>
      </w:r>
      <w:r w:rsidR="000F342B" w:rsidRPr="00FE5415">
        <w:rPr>
          <w:rStyle w:val="FootnoteReference"/>
          <w:rFonts w:ascii="Times New Roman" w:hAnsi="Times New Roman" w:cs="Times New Roman"/>
          <w:sz w:val="20"/>
          <w:szCs w:val="20"/>
        </w:rPr>
        <w:footnoteReference w:id="18"/>
      </w:r>
      <w:r w:rsidR="00E41372" w:rsidRPr="00FE5415">
        <w:rPr>
          <w:rFonts w:ascii="Times New Roman" w:hAnsi="Times New Roman" w:cs="Times New Roman"/>
          <w:sz w:val="20"/>
          <w:szCs w:val="20"/>
        </w:rPr>
        <w:t xml:space="preserve"> </w:t>
      </w:r>
    </w:p>
    <w:p w:rsidR="00D53F6F" w:rsidRPr="00FE5415" w:rsidRDefault="00D53F6F" w:rsidP="00FC74D8">
      <w:pPr>
        <w:spacing w:line="240" w:lineRule="auto"/>
        <w:contextualSpacing/>
        <w:rPr>
          <w:rFonts w:ascii="Times New Roman" w:hAnsi="Times New Roman" w:cs="Times New Roman"/>
          <w:sz w:val="20"/>
          <w:szCs w:val="20"/>
        </w:rPr>
      </w:pPr>
    </w:p>
    <w:p w:rsidR="00677F76" w:rsidRPr="00FE5415" w:rsidRDefault="008441FC"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There are key differences in CATI and CAPI operations between surveys.</w:t>
      </w:r>
      <w:r w:rsidR="00695B0B" w:rsidRPr="00FE5415">
        <w:rPr>
          <w:rFonts w:ascii="Times New Roman" w:hAnsi="Times New Roman" w:cs="Times New Roman"/>
          <w:sz w:val="20"/>
          <w:szCs w:val="20"/>
        </w:rPr>
        <w:t xml:space="preserve"> </w:t>
      </w:r>
      <w:r w:rsidR="005841EB" w:rsidRPr="00FE5415">
        <w:rPr>
          <w:rFonts w:ascii="Times New Roman" w:hAnsi="Times New Roman" w:cs="Times New Roman"/>
          <w:sz w:val="20"/>
          <w:szCs w:val="20"/>
        </w:rPr>
        <w:t xml:space="preserve">With all other things being equal, it should be easier to find ASEC respondents and collect their information. </w:t>
      </w:r>
      <w:r w:rsidR="00FE32D8" w:rsidRPr="00FE5415">
        <w:rPr>
          <w:rFonts w:ascii="Times New Roman" w:hAnsi="Times New Roman" w:cs="Times New Roman"/>
          <w:sz w:val="20"/>
          <w:szCs w:val="20"/>
        </w:rPr>
        <w:t xml:space="preserve">Most </w:t>
      </w:r>
      <w:r w:rsidR="00695B0B" w:rsidRPr="00FE5415">
        <w:rPr>
          <w:rFonts w:ascii="Times New Roman" w:hAnsi="Times New Roman" w:cs="Times New Roman"/>
          <w:sz w:val="20"/>
          <w:szCs w:val="20"/>
        </w:rPr>
        <w:t>ASEC</w:t>
      </w:r>
      <w:r w:rsidRPr="00FE5415">
        <w:rPr>
          <w:rFonts w:ascii="Times New Roman" w:hAnsi="Times New Roman" w:cs="Times New Roman"/>
          <w:sz w:val="20"/>
          <w:szCs w:val="20"/>
        </w:rPr>
        <w:t xml:space="preserve"> </w:t>
      </w:r>
      <w:r w:rsidR="00695B0B" w:rsidRPr="00FE5415">
        <w:rPr>
          <w:rFonts w:ascii="Times New Roman" w:hAnsi="Times New Roman" w:cs="Times New Roman"/>
          <w:sz w:val="20"/>
          <w:szCs w:val="20"/>
        </w:rPr>
        <w:t>respondents</w:t>
      </w:r>
      <w:r w:rsidR="00F76F05" w:rsidRPr="00FE5415">
        <w:rPr>
          <w:rFonts w:ascii="Times New Roman" w:hAnsi="Times New Roman" w:cs="Times New Roman"/>
          <w:sz w:val="20"/>
          <w:szCs w:val="20"/>
        </w:rPr>
        <w:t xml:space="preserve"> have been contacted at an earlier point within the last year</w:t>
      </w:r>
      <w:r w:rsidR="00695B0B" w:rsidRPr="00FE5415">
        <w:rPr>
          <w:rFonts w:ascii="Times New Roman" w:hAnsi="Times New Roman" w:cs="Times New Roman"/>
          <w:sz w:val="20"/>
          <w:szCs w:val="20"/>
        </w:rPr>
        <w:t xml:space="preserve"> because they were included in the </w:t>
      </w:r>
      <w:r w:rsidR="00B352B6" w:rsidRPr="00FE5415">
        <w:rPr>
          <w:rFonts w:ascii="Times New Roman" w:hAnsi="Times New Roman" w:cs="Times New Roman"/>
          <w:sz w:val="20"/>
          <w:szCs w:val="20"/>
        </w:rPr>
        <w:t xml:space="preserve">basic </w:t>
      </w:r>
      <w:r w:rsidR="00FE32D8" w:rsidRPr="00FE5415">
        <w:rPr>
          <w:rFonts w:ascii="Times New Roman" w:hAnsi="Times New Roman" w:cs="Times New Roman"/>
          <w:sz w:val="20"/>
          <w:szCs w:val="20"/>
        </w:rPr>
        <w:t xml:space="preserve">monthly </w:t>
      </w:r>
      <w:r w:rsidR="00B352B6" w:rsidRPr="00FE5415">
        <w:rPr>
          <w:rFonts w:ascii="Times New Roman" w:hAnsi="Times New Roman" w:cs="Times New Roman"/>
          <w:sz w:val="20"/>
          <w:szCs w:val="20"/>
        </w:rPr>
        <w:t>CPS</w:t>
      </w:r>
      <w:r w:rsidR="00695B0B" w:rsidRPr="00FE5415">
        <w:rPr>
          <w:rFonts w:ascii="Times New Roman" w:hAnsi="Times New Roman" w:cs="Times New Roman"/>
          <w:sz w:val="20"/>
          <w:szCs w:val="20"/>
        </w:rPr>
        <w:t xml:space="preserve"> sample</w:t>
      </w:r>
      <w:r w:rsidR="00F76F05" w:rsidRPr="00FE5415">
        <w:rPr>
          <w:rFonts w:ascii="Times New Roman" w:hAnsi="Times New Roman" w:cs="Times New Roman"/>
          <w:sz w:val="20"/>
          <w:szCs w:val="20"/>
        </w:rPr>
        <w:t xml:space="preserve">. </w:t>
      </w:r>
      <w:r w:rsidR="00695B0B" w:rsidRPr="00FE5415">
        <w:rPr>
          <w:rFonts w:ascii="Times New Roman" w:hAnsi="Times New Roman" w:cs="Times New Roman"/>
          <w:sz w:val="20"/>
          <w:szCs w:val="20"/>
        </w:rPr>
        <w:t>Therefore, the</w:t>
      </w:r>
      <w:r w:rsidR="00F76F05" w:rsidRPr="00FE5415">
        <w:rPr>
          <w:rFonts w:ascii="Times New Roman" w:hAnsi="Times New Roman" w:cs="Times New Roman"/>
          <w:sz w:val="20"/>
          <w:szCs w:val="20"/>
        </w:rPr>
        <w:t xml:space="preserve"> Census Bureau </w:t>
      </w:r>
      <w:r w:rsidR="006B185F" w:rsidRPr="00FE5415">
        <w:rPr>
          <w:rFonts w:ascii="Times New Roman" w:hAnsi="Times New Roman" w:cs="Times New Roman"/>
          <w:sz w:val="20"/>
          <w:szCs w:val="20"/>
        </w:rPr>
        <w:t xml:space="preserve">has </w:t>
      </w:r>
      <w:r w:rsidR="000F342B">
        <w:rPr>
          <w:rFonts w:ascii="Times New Roman" w:hAnsi="Times New Roman" w:cs="Times New Roman"/>
          <w:sz w:val="20"/>
          <w:szCs w:val="20"/>
        </w:rPr>
        <w:t>current</w:t>
      </w:r>
      <w:r w:rsidR="000F342B" w:rsidRPr="00FE5415">
        <w:rPr>
          <w:rFonts w:ascii="Times New Roman" w:hAnsi="Times New Roman" w:cs="Times New Roman"/>
          <w:sz w:val="20"/>
          <w:szCs w:val="20"/>
        </w:rPr>
        <w:t xml:space="preserve"> </w:t>
      </w:r>
      <w:r w:rsidR="00F76F05" w:rsidRPr="00FE5415">
        <w:rPr>
          <w:rFonts w:ascii="Times New Roman" w:hAnsi="Times New Roman" w:cs="Times New Roman"/>
          <w:sz w:val="20"/>
          <w:szCs w:val="20"/>
        </w:rPr>
        <w:t>address information</w:t>
      </w:r>
      <w:r w:rsidR="00695B0B" w:rsidRPr="00FE5415">
        <w:rPr>
          <w:rFonts w:ascii="Times New Roman" w:hAnsi="Times New Roman" w:cs="Times New Roman"/>
          <w:sz w:val="20"/>
          <w:szCs w:val="20"/>
        </w:rPr>
        <w:t xml:space="preserve"> available</w:t>
      </w:r>
      <w:r w:rsidR="00983C9C" w:rsidRPr="00FE5415">
        <w:rPr>
          <w:rFonts w:ascii="Times New Roman" w:hAnsi="Times New Roman" w:cs="Times New Roman"/>
          <w:sz w:val="20"/>
          <w:szCs w:val="20"/>
        </w:rPr>
        <w:t xml:space="preserve"> </w:t>
      </w:r>
      <w:r w:rsidR="000F342B">
        <w:rPr>
          <w:rFonts w:ascii="Times New Roman" w:hAnsi="Times New Roman" w:cs="Times New Roman"/>
          <w:sz w:val="20"/>
          <w:szCs w:val="20"/>
        </w:rPr>
        <w:t>from prior</w:t>
      </w:r>
      <w:r w:rsidR="00983C9C" w:rsidRPr="00FE5415">
        <w:rPr>
          <w:rFonts w:ascii="Times New Roman" w:hAnsi="Times New Roman" w:cs="Times New Roman"/>
          <w:sz w:val="20"/>
          <w:szCs w:val="20"/>
        </w:rPr>
        <w:t xml:space="preserve"> interviews</w:t>
      </w:r>
      <w:r w:rsidR="00F76F05" w:rsidRPr="00FE5415">
        <w:rPr>
          <w:rFonts w:ascii="Times New Roman" w:hAnsi="Times New Roman" w:cs="Times New Roman"/>
          <w:sz w:val="20"/>
          <w:szCs w:val="20"/>
        </w:rPr>
        <w:t>.</w:t>
      </w:r>
      <w:r w:rsidR="00BD572D" w:rsidRPr="00FE5415">
        <w:rPr>
          <w:rFonts w:ascii="Times New Roman" w:hAnsi="Times New Roman" w:cs="Times New Roman"/>
          <w:sz w:val="20"/>
          <w:szCs w:val="20"/>
        </w:rPr>
        <w:t xml:space="preserve"> </w:t>
      </w:r>
      <w:r w:rsidR="005A4E02" w:rsidRPr="00FE5415">
        <w:rPr>
          <w:rFonts w:ascii="Times New Roman" w:hAnsi="Times New Roman" w:cs="Times New Roman"/>
          <w:sz w:val="20"/>
          <w:szCs w:val="20"/>
        </w:rPr>
        <w:t>Because the ACS is not a longitudinal survey</w:t>
      </w:r>
      <w:r w:rsidR="00A86AE2" w:rsidRPr="00FE5415">
        <w:rPr>
          <w:rFonts w:ascii="Times New Roman" w:hAnsi="Times New Roman" w:cs="Times New Roman"/>
          <w:sz w:val="20"/>
          <w:szCs w:val="20"/>
        </w:rPr>
        <w:t xml:space="preserve">, respondents have not been in contact with the Census Bureau prior to receiving the survey. </w:t>
      </w:r>
      <w:r w:rsidR="00BA15D4" w:rsidRPr="00FE5415">
        <w:rPr>
          <w:rFonts w:ascii="Times New Roman" w:hAnsi="Times New Roman" w:cs="Times New Roman"/>
          <w:sz w:val="20"/>
          <w:szCs w:val="20"/>
        </w:rPr>
        <w:t>Initial contact is made through the mail.</w:t>
      </w:r>
      <w:r w:rsidR="003E7653" w:rsidRPr="00FE5415">
        <w:rPr>
          <w:rStyle w:val="FootnoteReference"/>
          <w:rFonts w:ascii="Times New Roman" w:hAnsi="Times New Roman" w:cs="Times New Roman"/>
          <w:sz w:val="20"/>
          <w:szCs w:val="20"/>
        </w:rPr>
        <w:footnoteReference w:id="19"/>
      </w:r>
      <w:r w:rsidR="00BA15D4" w:rsidRPr="00FE5415">
        <w:rPr>
          <w:rFonts w:ascii="Times New Roman" w:hAnsi="Times New Roman" w:cs="Times New Roman"/>
          <w:sz w:val="20"/>
          <w:szCs w:val="20"/>
        </w:rPr>
        <w:t xml:space="preserve"> </w:t>
      </w:r>
      <w:r w:rsidR="00A70B26" w:rsidRPr="00FE5415">
        <w:rPr>
          <w:rFonts w:ascii="Times New Roman" w:hAnsi="Times New Roman" w:cs="Times New Roman"/>
          <w:sz w:val="20"/>
          <w:szCs w:val="20"/>
        </w:rPr>
        <w:t>CATI and CAPI are secondary methods of contacting respondents</w:t>
      </w:r>
      <w:r w:rsidR="006A55B4">
        <w:rPr>
          <w:rFonts w:ascii="Times New Roman" w:hAnsi="Times New Roman" w:cs="Times New Roman"/>
          <w:sz w:val="20"/>
          <w:szCs w:val="20"/>
        </w:rPr>
        <w:t xml:space="preserve"> in the ACS</w:t>
      </w:r>
      <w:r w:rsidR="00A70B26" w:rsidRPr="00FE5415">
        <w:rPr>
          <w:rFonts w:ascii="Times New Roman" w:hAnsi="Times New Roman" w:cs="Times New Roman"/>
          <w:sz w:val="20"/>
          <w:szCs w:val="20"/>
        </w:rPr>
        <w:t>, while they are the only methods in ASEC</w:t>
      </w:r>
      <w:r w:rsidR="00A70B26">
        <w:rPr>
          <w:rFonts w:ascii="Times New Roman" w:hAnsi="Times New Roman" w:cs="Times New Roman"/>
          <w:sz w:val="20"/>
          <w:szCs w:val="20"/>
        </w:rPr>
        <w:t>.</w:t>
      </w:r>
      <w:r w:rsidR="00A70B26" w:rsidRPr="00FE5415">
        <w:rPr>
          <w:rFonts w:ascii="Times New Roman" w:hAnsi="Times New Roman" w:cs="Times New Roman"/>
          <w:sz w:val="20"/>
          <w:szCs w:val="20"/>
        </w:rPr>
        <w:t xml:space="preserve"> </w:t>
      </w:r>
      <w:r w:rsidR="0057160E" w:rsidRPr="00FE5415">
        <w:rPr>
          <w:rFonts w:ascii="Times New Roman" w:hAnsi="Times New Roman" w:cs="Times New Roman"/>
          <w:sz w:val="20"/>
          <w:szCs w:val="20"/>
        </w:rPr>
        <w:t xml:space="preserve">Respondents who </w:t>
      </w:r>
      <w:r w:rsidR="005841EB" w:rsidRPr="00FE5415">
        <w:rPr>
          <w:rFonts w:ascii="Times New Roman" w:hAnsi="Times New Roman" w:cs="Times New Roman"/>
          <w:sz w:val="20"/>
          <w:szCs w:val="20"/>
        </w:rPr>
        <w:t>do</w:t>
      </w:r>
      <w:r w:rsidR="00BA15D4" w:rsidRPr="00FE5415">
        <w:rPr>
          <w:rFonts w:ascii="Times New Roman" w:hAnsi="Times New Roman" w:cs="Times New Roman"/>
          <w:sz w:val="20"/>
          <w:szCs w:val="20"/>
        </w:rPr>
        <w:t xml:space="preserve"> not complete their </w:t>
      </w:r>
      <w:r w:rsidR="00A70B26">
        <w:rPr>
          <w:rFonts w:ascii="Times New Roman" w:hAnsi="Times New Roman" w:cs="Times New Roman"/>
          <w:sz w:val="20"/>
          <w:szCs w:val="20"/>
        </w:rPr>
        <w:t xml:space="preserve">ACS </w:t>
      </w:r>
      <w:r w:rsidR="00BA15D4" w:rsidRPr="00FE5415">
        <w:rPr>
          <w:rFonts w:ascii="Times New Roman" w:hAnsi="Times New Roman" w:cs="Times New Roman"/>
          <w:sz w:val="20"/>
          <w:szCs w:val="20"/>
        </w:rPr>
        <w:t>questionnaire</w:t>
      </w:r>
      <w:r w:rsidR="005D6013" w:rsidRPr="00FE5415">
        <w:rPr>
          <w:rFonts w:ascii="Times New Roman" w:hAnsi="Times New Roman" w:cs="Times New Roman"/>
          <w:sz w:val="20"/>
          <w:szCs w:val="20"/>
        </w:rPr>
        <w:t xml:space="preserve"> via mail or Internet </w:t>
      </w:r>
      <w:r w:rsidR="00B352B6" w:rsidRPr="00FE5415">
        <w:rPr>
          <w:rFonts w:ascii="Times New Roman" w:hAnsi="Times New Roman" w:cs="Times New Roman"/>
          <w:sz w:val="20"/>
          <w:szCs w:val="20"/>
        </w:rPr>
        <w:t>wi</w:t>
      </w:r>
      <w:r w:rsidR="00853ED2" w:rsidRPr="00FE5415">
        <w:rPr>
          <w:rFonts w:ascii="Times New Roman" w:hAnsi="Times New Roman" w:cs="Times New Roman"/>
          <w:sz w:val="20"/>
          <w:szCs w:val="20"/>
        </w:rPr>
        <w:t>thin one</w:t>
      </w:r>
      <w:r w:rsidR="00B352B6" w:rsidRPr="00FE5415">
        <w:rPr>
          <w:rFonts w:ascii="Times New Roman" w:hAnsi="Times New Roman" w:cs="Times New Roman"/>
          <w:sz w:val="20"/>
          <w:szCs w:val="20"/>
        </w:rPr>
        <w:t xml:space="preserve"> </w:t>
      </w:r>
      <w:r w:rsidR="00BA15D4" w:rsidRPr="00FE5415">
        <w:rPr>
          <w:rFonts w:ascii="Times New Roman" w:hAnsi="Times New Roman" w:cs="Times New Roman"/>
          <w:sz w:val="20"/>
          <w:szCs w:val="20"/>
        </w:rPr>
        <w:t xml:space="preserve">month </w:t>
      </w:r>
      <w:r w:rsidR="005D6013" w:rsidRPr="00FE5415">
        <w:rPr>
          <w:rFonts w:ascii="Times New Roman" w:hAnsi="Times New Roman" w:cs="Times New Roman"/>
          <w:sz w:val="20"/>
          <w:szCs w:val="20"/>
        </w:rPr>
        <w:t>are forwarded to CATI</w:t>
      </w:r>
      <w:r w:rsidR="00807DB5" w:rsidRPr="00FE5415">
        <w:rPr>
          <w:rFonts w:ascii="Times New Roman" w:hAnsi="Times New Roman" w:cs="Times New Roman"/>
          <w:sz w:val="20"/>
          <w:szCs w:val="20"/>
        </w:rPr>
        <w:t>, if the Census Bureau has a telephone number for that address</w:t>
      </w:r>
      <w:r w:rsidR="00325948" w:rsidRPr="00FE5415">
        <w:rPr>
          <w:rFonts w:ascii="Times New Roman" w:hAnsi="Times New Roman" w:cs="Times New Roman"/>
          <w:sz w:val="20"/>
          <w:szCs w:val="20"/>
        </w:rPr>
        <w:t>.</w:t>
      </w:r>
      <w:r w:rsidR="002E4718" w:rsidRPr="00FE5415">
        <w:rPr>
          <w:rStyle w:val="FootnoteReference"/>
          <w:rFonts w:ascii="Times New Roman" w:hAnsi="Times New Roman" w:cs="Times New Roman"/>
          <w:sz w:val="20"/>
          <w:szCs w:val="20"/>
        </w:rPr>
        <w:footnoteReference w:id="20"/>
      </w:r>
      <w:r w:rsidR="005D6013" w:rsidRPr="00FE5415">
        <w:rPr>
          <w:rFonts w:ascii="Times New Roman" w:hAnsi="Times New Roman" w:cs="Times New Roman"/>
          <w:sz w:val="20"/>
          <w:szCs w:val="20"/>
        </w:rPr>
        <w:t xml:space="preserve"> </w:t>
      </w:r>
      <w:r w:rsidR="009B47CB" w:rsidRPr="00FE5415">
        <w:rPr>
          <w:rFonts w:ascii="Times New Roman" w:hAnsi="Times New Roman" w:cs="Times New Roman"/>
          <w:sz w:val="20"/>
          <w:szCs w:val="20"/>
        </w:rPr>
        <w:t>After several attempts, a</w:t>
      </w:r>
      <w:r w:rsidR="003E2496" w:rsidRPr="00FE5415">
        <w:rPr>
          <w:rFonts w:ascii="Times New Roman" w:hAnsi="Times New Roman" w:cs="Times New Roman"/>
          <w:sz w:val="20"/>
          <w:szCs w:val="20"/>
        </w:rPr>
        <w:t xml:space="preserve"> </w:t>
      </w:r>
      <w:r w:rsidR="002E4718" w:rsidRPr="00FE5415">
        <w:rPr>
          <w:rFonts w:ascii="Times New Roman" w:hAnsi="Times New Roman" w:cs="Times New Roman"/>
          <w:sz w:val="20"/>
          <w:szCs w:val="20"/>
        </w:rPr>
        <w:t xml:space="preserve">subsample </w:t>
      </w:r>
      <w:r w:rsidR="009B47CB" w:rsidRPr="00FE5415">
        <w:rPr>
          <w:rFonts w:ascii="Times New Roman" w:hAnsi="Times New Roman" w:cs="Times New Roman"/>
          <w:sz w:val="20"/>
          <w:szCs w:val="20"/>
        </w:rPr>
        <w:t xml:space="preserve">of </w:t>
      </w:r>
      <w:r w:rsidR="002E4718" w:rsidRPr="00FE5415">
        <w:rPr>
          <w:rFonts w:ascii="Times New Roman" w:hAnsi="Times New Roman" w:cs="Times New Roman"/>
          <w:sz w:val="20"/>
          <w:szCs w:val="20"/>
        </w:rPr>
        <w:t>nonresponse</w:t>
      </w:r>
      <w:r w:rsidR="005A4E02" w:rsidRPr="00FE5415">
        <w:rPr>
          <w:rFonts w:ascii="Times New Roman" w:hAnsi="Times New Roman" w:cs="Times New Roman"/>
          <w:sz w:val="20"/>
          <w:szCs w:val="20"/>
        </w:rPr>
        <w:t xml:space="preserve"> cases </w:t>
      </w:r>
      <w:r w:rsidR="005122E0" w:rsidRPr="00FE5415">
        <w:rPr>
          <w:rFonts w:ascii="Times New Roman" w:hAnsi="Times New Roman" w:cs="Times New Roman"/>
          <w:sz w:val="20"/>
          <w:szCs w:val="20"/>
        </w:rPr>
        <w:t>is</w:t>
      </w:r>
      <w:r w:rsidR="005A4E02" w:rsidRPr="00FE5415">
        <w:rPr>
          <w:rFonts w:ascii="Times New Roman" w:hAnsi="Times New Roman" w:cs="Times New Roman"/>
          <w:sz w:val="20"/>
          <w:szCs w:val="20"/>
        </w:rPr>
        <w:t xml:space="preserve"> sent for CAPI.  </w:t>
      </w:r>
    </w:p>
    <w:p w:rsidR="00062F38" w:rsidRDefault="00062F38"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0E67FB" w:rsidRDefault="000E67FB" w:rsidP="00FC74D8">
      <w:pPr>
        <w:spacing w:line="240" w:lineRule="auto"/>
        <w:contextualSpacing/>
        <w:rPr>
          <w:rFonts w:ascii="Times New Roman" w:hAnsi="Times New Roman" w:cs="Times New Roman"/>
          <w:b/>
          <w:sz w:val="20"/>
          <w:szCs w:val="20"/>
        </w:rPr>
      </w:pPr>
    </w:p>
    <w:p w:rsidR="00B52EF8" w:rsidRPr="00FE5415" w:rsidRDefault="00B52EF8"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Reference Period</w:t>
      </w:r>
    </w:p>
    <w:p w:rsidR="00D53F6F" w:rsidRPr="00FE5415" w:rsidRDefault="00D53F6F" w:rsidP="00FC74D8">
      <w:pPr>
        <w:spacing w:line="240" w:lineRule="auto"/>
        <w:contextualSpacing/>
        <w:rPr>
          <w:rFonts w:ascii="Times New Roman" w:hAnsi="Times New Roman" w:cs="Times New Roman"/>
          <w:sz w:val="20"/>
          <w:szCs w:val="20"/>
        </w:rPr>
      </w:pPr>
    </w:p>
    <w:p w:rsidR="00B52EF8" w:rsidRPr="00FE5415" w:rsidRDefault="00B52EF8"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   </w:t>
      </w:r>
    </w:p>
    <w:p w:rsidR="00A71142" w:rsidRPr="00FE5415" w:rsidRDefault="00B52EF8" w:rsidP="00A71142">
      <w:pPr>
        <w:spacing w:line="240" w:lineRule="auto"/>
        <w:ind w:firstLine="720"/>
        <w:contextualSpacing/>
        <w:rPr>
          <w:rFonts w:ascii="Times New Roman" w:hAnsi="Times New Roman" w:cs="Times New Roman"/>
          <w:sz w:val="20"/>
          <w:szCs w:val="20"/>
        </w:rPr>
      </w:pPr>
      <w:r w:rsidRPr="00FE5415">
        <w:rPr>
          <w:rFonts w:ascii="Times New Roman" w:hAnsi="Times New Roman" w:cs="Times New Roman"/>
          <w:noProof/>
          <w:sz w:val="20"/>
          <w:szCs w:val="20"/>
        </w:rPr>
        <w:drawing>
          <wp:inline distT="0" distB="0" distL="0" distR="0" wp14:anchorId="0DD4F4E9" wp14:editId="3DC437B5">
            <wp:extent cx="5943600" cy="2915920"/>
            <wp:effectExtent l="0" t="0" r="1905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52EF8" w:rsidRPr="00FE5415" w:rsidRDefault="00B52EF8" w:rsidP="00FC74D8">
      <w:pPr>
        <w:spacing w:line="240" w:lineRule="auto"/>
        <w:ind w:firstLine="720"/>
        <w:contextualSpacing/>
        <w:rPr>
          <w:rFonts w:ascii="Times New Roman" w:hAnsi="Times New Roman" w:cs="Times New Roman"/>
          <w:sz w:val="20"/>
          <w:szCs w:val="20"/>
        </w:rPr>
      </w:pPr>
    </w:p>
    <w:p w:rsidR="00B52EF8" w:rsidRPr="00FE5415" w:rsidRDefault="00E97EFF" w:rsidP="00FC74D8">
      <w:pPr>
        <w:spacing w:line="240" w:lineRule="auto"/>
        <w:contextualSpacing/>
        <w:rPr>
          <w:rFonts w:ascii="Times New Roman" w:hAnsi="Times New Roman" w:cs="Times New Roman"/>
          <w:sz w:val="20"/>
          <w:szCs w:val="20"/>
        </w:rPr>
      </w:pPr>
      <w:r>
        <w:rPr>
          <w:rFonts w:ascii="Times New Roman" w:hAnsi="Times New Roman" w:cs="Times New Roman"/>
          <w:sz w:val="20"/>
          <w:szCs w:val="20"/>
        </w:rPr>
        <w:t>T</w:t>
      </w:r>
      <w:r w:rsidR="00B52EF8" w:rsidRPr="00FE5415">
        <w:rPr>
          <w:rFonts w:ascii="Times New Roman" w:hAnsi="Times New Roman" w:cs="Times New Roman"/>
          <w:sz w:val="20"/>
          <w:szCs w:val="20"/>
        </w:rPr>
        <w:t xml:space="preserve">here is a considerable amount of overlap between </w:t>
      </w:r>
      <w:r>
        <w:rPr>
          <w:rFonts w:ascii="Times New Roman" w:hAnsi="Times New Roman" w:cs="Times New Roman"/>
          <w:sz w:val="20"/>
          <w:szCs w:val="20"/>
        </w:rPr>
        <w:t xml:space="preserve">the </w:t>
      </w:r>
      <w:r w:rsidR="00B52EF8" w:rsidRPr="00FE5415">
        <w:rPr>
          <w:rFonts w:ascii="Times New Roman" w:hAnsi="Times New Roman" w:cs="Times New Roman"/>
          <w:sz w:val="20"/>
          <w:szCs w:val="20"/>
        </w:rPr>
        <w:t xml:space="preserve">ASEC and </w:t>
      </w:r>
      <w:r>
        <w:rPr>
          <w:rFonts w:ascii="Times New Roman" w:hAnsi="Times New Roman" w:cs="Times New Roman"/>
          <w:sz w:val="20"/>
          <w:szCs w:val="20"/>
        </w:rPr>
        <w:t xml:space="preserve">the </w:t>
      </w:r>
      <w:r w:rsidR="00B52EF8" w:rsidRPr="00FE5415">
        <w:rPr>
          <w:rFonts w:ascii="Times New Roman" w:hAnsi="Times New Roman" w:cs="Times New Roman"/>
          <w:sz w:val="20"/>
          <w:szCs w:val="20"/>
        </w:rPr>
        <w:t>ACS reference periods, from February of the previous year to the end of April of the survey year</w:t>
      </w:r>
      <w:r>
        <w:rPr>
          <w:rFonts w:ascii="Times New Roman" w:hAnsi="Times New Roman" w:cs="Times New Roman"/>
          <w:sz w:val="20"/>
          <w:szCs w:val="20"/>
        </w:rPr>
        <w:t xml:space="preserve"> (see </w:t>
      </w:r>
      <w:r w:rsidRPr="000F0525">
        <w:rPr>
          <w:rFonts w:ascii="Times New Roman" w:hAnsi="Times New Roman" w:cs="Times New Roman"/>
          <w:b/>
          <w:sz w:val="20"/>
          <w:szCs w:val="20"/>
        </w:rPr>
        <w:t>Figure 1</w:t>
      </w:r>
      <w:r>
        <w:rPr>
          <w:rFonts w:ascii="Times New Roman" w:hAnsi="Times New Roman" w:cs="Times New Roman"/>
          <w:sz w:val="20"/>
          <w:szCs w:val="20"/>
        </w:rPr>
        <w:t>)</w:t>
      </w:r>
      <w:r w:rsidR="00B52EF8" w:rsidRPr="00FE5415">
        <w:rPr>
          <w:rFonts w:ascii="Times New Roman" w:hAnsi="Times New Roman" w:cs="Times New Roman"/>
          <w:sz w:val="20"/>
          <w:szCs w:val="20"/>
        </w:rPr>
        <w:t>.</w:t>
      </w:r>
      <w:r w:rsidR="00A35D00">
        <w:rPr>
          <w:rStyle w:val="FootnoteReference"/>
          <w:rFonts w:ascii="Times New Roman" w:hAnsi="Times New Roman" w:cs="Times New Roman"/>
          <w:sz w:val="20"/>
          <w:szCs w:val="20"/>
        </w:rPr>
        <w:footnoteReference w:id="21"/>
      </w:r>
      <w:r w:rsidR="00B52EF8" w:rsidRPr="00FE5415">
        <w:rPr>
          <w:rFonts w:ascii="Times New Roman" w:hAnsi="Times New Roman" w:cs="Times New Roman"/>
          <w:sz w:val="20"/>
          <w:szCs w:val="20"/>
        </w:rPr>
        <w:t xml:space="preserve"> Because ASEC does not collect data after April of the survey year, any changes in migration occurring after April will show up in that survey year for the ACS but not until the next year for ASEC. To demonstrate the point, we can use the natural disaster of Hurricanes Katrina and Rita as an impetus to a sudden increase in movement. Beginning in late August of 2005, many people were forced to move after their houses were flooded or destroyed. Some of these moves should have appeared in the 2005 ACS. ASEC collections had already ceased in April for the 2005 survey year, meaning the surge in migration would not appear until the 2006 data. During these sudden migration events, differences in reference periods between surveys </w:t>
      </w:r>
      <w:r w:rsidR="00435BA9">
        <w:rPr>
          <w:rFonts w:ascii="Times New Roman" w:hAnsi="Times New Roman" w:cs="Times New Roman"/>
          <w:sz w:val="20"/>
          <w:szCs w:val="20"/>
        </w:rPr>
        <w:t>are very</w:t>
      </w:r>
      <w:r w:rsidR="00B52EF8" w:rsidRPr="00FE5415">
        <w:rPr>
          <w:rFonts w:ascii="Times New Roman" w:hAnsi="Times New Roman" w:cs="Times New Roman"/>
          <w:sz w:val="20"/>
          <w:szCs w:val="20"/>
        </w:rPr>
        <w:t xml:space="preserve"> important. </w:t>
      </w:r>
    </w:p>
    <w:p w:rsidR="00A80801" w:rsidRPr="00FE5415" w:rsidRDefault="00A80801" w:rsidP="00FC74D8">
      <w:pPr>
        <w:spacing w:line="240" w:lineRule="auto"/>
        <w:contextualSpacing/>
        <w:rPr>
          <w:rFonts w:ascii="Times New Roman" w:hAnsi="Times New Roman" w:cs="Times New Roman"/>
          <w:sz w:val="20"/>
          <w:szCs w:val="20"/>
        </w:rPr>
      </w:pPr>
    </w:p>
    <w:p w:rsidR="00B52EF8" w:rsidRPr="00FE5415" w:rsidRDefault="00B52EF8"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As shown in </w:t>
      </w:r>
      <w:r w:rsidRPr="00FE5415">
        <w:rPr>
          <w:rFonts w:ascii="Times New Roman" w:hAnsi="Times New Roman" w:cs="Times New Roman"/>
          <w:b/>
          <w:sz w:val="20"/>
          <w:szCs w:val="20"/>
        </w:rPr>
        <w:t>Figure 1</w:t>
      </w:r>
      <w:r w:rsidRPr="00FE5415">
        <w:rPr>
          <w:rFonts w:ascii="Times New Roman" w:hAnsi="Times New Roman" w:cs="Times New Roman"/>
          <w:sz w:val="20"/>
          <w:szCs w:val="20"/>
        </w:rPr>
        <w:t xml:space="preserve">, </w:t>
      </w:r>
      <w:r w:rsidR="005B0190">
        <w:rPr>
          <w:rFonts w:ascii="Times New Roman" w:hAnsi="Times New Roman" w:cs="Times New Roman"/>
          <w:sz w:val="20"/>
          <w:szCs w:val="20"/>
        </w:rPr>
        <w:t xml:space="preserve">the </w:t>
      </w:r>
      <w:r w:rsidRPr="00FE5415">
        <w:rPr>
          <w:rFonts w:ascii="Times New Roman" w:hAnsi="Times New Roman" w:cs="Times New Roman"/>
          <w:sz w:val="20"/>
          <w:szCs w:val="20"/>
        </w:rPr>
        <w:t xml:space="preserve">ASEC has a much shorter collection period than the ACS. </w:t>
      </w:r>
      <w:r w:rsidR="004018A8">
        <w:rPr>
          <w:rFonts w:ascii="Times New Roman" w:hAnsi="Times New Roman" w:cs="Times New Roman"/>
          <w:sz w:val="20"/>
          <w:szCs w:val="20"/>
        </w:rPr>
        <w:t xml:space="preserve">The </w:t>
      </w:r>
      <w:r w:rsidRPr="00FE5415">
        <w:rPr>
          <w:rFonts w:ascii="Times New Roman" w:hAnsi="Times New Roman" w:cs="Times New Roman"/>
          <w:sz w:val="20"/>
          <w:szCs w:val="20"/>
        </w:rPr>
        <w:t xml:space="preserve">ASEC data are collected between the months of February and April. Respondents </w:t>
      </w:r>
      <w:r w:rsidR="00347F85" w:rsidRPr="00FE5415">
        <w:rPr>
          <w:rFonts w:ascii="Times New Roman" w:hAnsi="Times New Roman" w:cs="Times New Roman"/>
          <w:sz w:val="20"/>
          <w:szCs w:val="20"/>
        </w:rPr>
        <w:t>have</w:t>
      </w:r>
      <w:r w:rsidRPr="00FE5415">
        <w:rPr>
          <w:rFonts w:ascii="Times New Roman" w:hAnsi="Times New Roman" w:cs="Times New Roman"/>
          <w:sz w:val="20"/>
          <w:szCs w:val="20"/>
        </w:rPr>
        <w:t xml:space="preserve"> a very limited amount of time to respond in ASEC. Responses are only collected </w:t>
      </w:r>
      <w:r w:rsidR="008147AD" w:rsidRPr="00FE5415">
        <w:rPr>
          <w:rFonts w:ascii="Times New Roman" w:hAnsi="Times New Roman" w:cs="Times New Roman"/>
          <w:sz w:val="20"/>
          <w:szCs w:val="20"/>
        </w:rPr>
        <w:t xml:space="preserve">during </w:t>
      </w:r>
      <w:r w:rsidRPr="00FE5415">
        <w:rPr>
          <w:rFonts w:ascii="Times New Roman" w:hAnsi="Times New Roman" w:cs="Times New Roman"/>
          <w:sz w:val="20"/>
          <w:szCs w:val="20"/>
        </w:rPr>
        <w:t xml:space="preserve">one week in the month that </w:t>
      </w:r>
      <w:r w:rsidR="00765E5E">
        <w:rPr>
          <w:rFonts w:ascii="Times New Roman" w:hAnsi="Times New Roman" w:cs="Times New Roman"/>
          <w:sz w:val="20"/>
          <w:szCs w:val="20"/>
        </w:rPr>
        <w:t>the household is</w:t>
      </w:r>
      <w:r w:rsidRPr="00FE5415">
        <w:rPr>
          <w:rFonts w:ascii="Times New Roman" w:hAnsi="Times New Roman" w:cs="Times New Roman"/>
          <w:sz w:val="20"/>
          <w:szCs w:val="20"/>
        </w:rPr>
        <w:t xml:space="preserve"> in sample</w:t>
      </w:r>
      <w:r w:rsidR="00663643">
        <w:rPr>
          <w:rFonts w:ascii="Times New Roman" w:hAnsi="Times New Roman" w:cs="Times New Roman"/>
          <w:sz w:val="20"/>
          <w:szCs w:val="20"/>
        </w:rPr>
        <w:t xml:space="preserve">. </w:t>
      </w:r>
      <w:r w:rsidR="00F3618F">
        <w:rPr>
          <w:rFonts w:ascii="Times New Roman" w:hAnsi="Times New Roman" w:cs="Times New Roman"/>
          <w:sz w:val="20"/>
          <w:szCs w:val="20"/>
        </w:rPr>
        <w:t xml:space="preserve">In contrast, the ACS </w:t>
      </w:r>
      <w:r w:rsidRPr="00FE5415">
        <w:rPr>
          <w:rFonts w:ascii="Times New Roman" w:hAnsi="Times New Roman" w:cs="Times New Roman"/>
          <w:sz w:val="20"/>
          <w:szCs w:val="20"/>
        </w:rPr>
        <w:t>collection operations are ongoing</w:t>
      </w:r>
      <w:r w:rsidR="003D5061" w:rsidRPr="00FE5415">
        <w:rPr>
          <w:rFonts w:ascii="Times New Roman" w:hAnsi="Times New Roman" w:cs="Times New Roman"/>
          <w:sz w:val="20"/>
          <w:szCs w:val="20"/>
        </w:rPr>
        <w:t xml:space="preserve"> throughout the year</w:t>
      </w:r>
      <w:r w:rsidR="003232F3" w:rsidRPr="00FE5415">
        <w:rPr>
          <w:rFonts w:ascii="Times New Roman" w:hAnsi="Times New Roman" w:cs="Times New Roman"/>
          <w:sz w:val="20"/>
          <w:szCs w:val="20"/>
        </w:rPr>
        <w:t xml:space="preserve">. </w:t>
      </w:r>
      <w:r w:rsidR="00347F85" w:rsidRPr="00FE5415">
        <w:rPr>
          <w:rFonts w:ascii="Times New Roman" w:hAnsi="Times New Roman" w:cs="Times New Roman"/>
          <w:sz w:val="20"/>
          <w:szCs w:val="20"/>
        </w:rPr>
        <w:t xml:space="preserve">Responses </w:t>
      </w:r>
      <w:r w:rsidR="00A61223">
        <w:rPr>
          <w:rFonts w:ascii="Times New Roman" w:hAnsi="Times New Roman" w:cs="Times New Roman"/>
          <w:sz w:val="20"/>
          <w:szCs w:val="20"/>
        </w:rPr>
        <w:t>are</w:t>
      </w:r>
      <w:r w:rsidR="00347F85" w:rsidRPr="00FE5415">
        <w:rPr>
          <w:rFonts w:ascii="Times New Roman" w:hAnsi="Times New Roman" w:cs="Times New Roman"/>
          <w:sz w:val="20"/>
          <w:szCs w:val="20"/>
        </w:rPr>
        <w:t xml:space="preserve"> collected during a three-month period. </w:t>
      </w:r>
      <w:r w:rsidRPr="00FE5415">
        <w:rPr>
          <w:rFonts w:ascii="Times New Roman" w:hAnsi="Times New Roman" w:cs="Times New Roman"/>
          <w:sz w:val="20"/>
          <w:szCs w:val="20"/>
        </w:rPr>
        <w:t xml:space="preserve">People who do not respond to the ACS through mail or the Internet are </w:t>
      </w:r>
      <w:r w:rsidR="00A1361D" w:rsidRPr="00FE5415">
        <w:rPr>
          <w:rFonts w:ascii="Times New Roman" w:hAnsi="Times New Roman" w:cs="Times New Roman"/>
          <w:sz w:val="20"/>
          <w:szCs w:val="20"/>
        </w:rPr>
        <w:t xml:space="preserve">contacted via telephone on the second month and </w:t>
      </w:r>
      <w:r w:rsidR="001C0D20" w:rsidRPr="00FE5415">
        <w:rPr>
          <w:rFonts w:ascii="Times New Roman" w:hAnsi="Times New Roman" w:cs="Times New Roman"/>
          <w:sz w:val="20"/>
          <w:szCs w:val="20"/>
        </w:rPr>
        <w:t>subsamples</w:t>
      </w:r>
      <w:r w:rsidR="00A1361D" w:rsidRPr="00FE5415">
        <w:rPr>
          <w:rFonts w:ascii="Times New Roman" w:hAnsi="Times New Roman" w:cs="Times New Roman"/>
          <w:sz w:val="20"/>
          <w:szCs w:val="20"/>
        </w:rPr>
        <w:t xml:space="preserve"> of </w:t>
      </w:r>
      <w:r w:rsidR="00A61223">
        <w:rPr>
          <w:rFonts w:ascii="Times New Roman" w:hAnsi="Times New Roman" w:cs="Times New Roman"/>
          <w:sz w:val="20"/>
          <w:szCs w:val="20"/>
        </w:rPr>
        <w:t>those who have still not responded</w:t>
      </w:r>
      <w:r w:rsidR="00A61223" w:rsidRPr="00FE5415">
        <w:rPr>
          <w:rFonts w:ascii="Times New Roman" w:hAnsi="Times New Roman" w:cs="Times New Roman"/>
          <w:sz w:val="20"/>
          <w:szCs w:val="20"/>
        </w:rPr>
        <w:t xml:space="preserve"> </w:t>
      </w:r>
      <w:r w:rsidR="00A1361D" w:rsidRPr="00FE5415">
        <w:rPr>
          <w:rFonts w:ascii="Times New Roman" w:hAnsi="Times New Roman" w:cs="Times New Roman"/>
          <w:sz w:val="20"/>
          <w:szCs w:val="20"/>
        </w:rPr>
        <w:t xml:space="preserve">are contacted by CAPI </w:t>
      </w:r>
      <w:r w:rsidR="00BD41E9">
        <w:rPr>
          <w:rFonts w:ascii="Times New Roman" w:hAnsi="Times New Roman" w:cs="Times New Roman"/>
          <w:sz w:val="20"/>
          <w:szCs w:val="20"/>
        </w:rPr>
        <w:t>in</w:t>
      </w:r>
      <w:r w:rsidR="00BD41E9" w:rsidRPr="00FE5415">
        <w:rPr>
          <w:rFonts w:ascii="Times New Roman" w:hAnsi="Times New Roman" w:cs="Times New Roman"/>
          <w:sz w:val="20"/>
          <w:szCs w:val="20"/>
        </w:rPr>
        <w:t xml:space="preserve"> </w:t>
      </w:r>
      <w:r w:rsidR="00A1361D" w:rsidRPr="00FE5415">
        <w:rPr>
          <w:rFonts w:ascii="Times New Roman" w:hAnsi="Times New Roman" w:cs="Times New Roman"/>
          <w:sz w:val="20"/>
          <w:szCs w:val="20"/>
        </w:rPr>
        <w:t>the third month</w:t>
      </w:r>
      <w:r w:rsidRPr="00FE5415">
        <w:rPr>
          <w:rFonts w:ascii="Times New Roman" w:hAnsi="Times New Roman" w:cs="Times New Roman"/>
          <w:sz w:val="20"/>
          <w:szCs w:val="20"/>
        </w:rPr>
        <w:t xml:space="preserve">. The continuous nature of the ACS allows for more contact points over a longer period compared to ASEC. </w:t>
      </w:r>
    </w:p>
    <w:p w:rsidR="00D11019" w:rsidRPr="00FE5415" w:rsidRDefault="00D11019" w:rsidP="00FC74D8">
      <w:pPr>
        <w:spacing w:line="240" w:lineRule="auto"/>
        <w:contextualSpacing/>
        <w:rPr>
          <w:rFonts w:ascii="Times New Roman" w:hAnsi="Times New Roman" w:cs="Times New Roman"/>
          <w:sz w:val="20"/>
          <w:szCs w:val="20"/>
        </w:rPr>
      </w:pPr>
    </w:p>
    <w:p w:rsidR="00A80801" w:rsidRPr="00FE5415" w:rsidRDefault="00677F76" w:rsidP="00CE08F2">
      <w:pPr>
        <w:rPr>
          <w:rFonts w:ascii="Times New Roman" w:hAnsi="Times New Roman" w:cs="Times New Roman"/>
          <w:sz w:val="20"/>
          <w:szCs w:val="20"/>
        </w:rPr>
      </w:pPr>
      <w:r w:rsidRPr="00FE5415">
        <w:rPr>
          <w:rFonts w:ascii="Times New Roman" w:hAnsi="Times New Roman" w:cs="Times New Roman"/>
          <w:b/>
          <w:sz w:val="20"/>
          <w:szCs w:val="20"/>
        </w:rPr>
        <w:t>Population Universe</w:t>
      </w:r>
    </w:p>
    <w:p w:rsidR="00F749D8" w:rsidRPr="00FE5415" w:rsidRDefault="00860535"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Another </w:t>
      </w:r>
      <w:r w:rsidR="00982C54" w:rsidRPr="00FE5415">
        <w:rPr>
          <w:rFonts w:ascii="Times New Roman" w:hAnsi="Times New Roman" w:cs="Times New Roman"/>
          <w:sz w:val="20"/>
          <w:szCs w:val="20"/>
        </w:rPr>
        <w:t xml:space="preserve">important </w:t>
      </w:r>
      <w:r w:rsidR="00EF68AC" w:rsidRPr="00FE5415">
        <w:rPr>
          <w:rFonts w:ascii="Times New Roman" w:hAnsi="Times New Roman" w:cs="Times New Roman"/>
          <w:sz w:val="20"/>
          <w:szCs w:val="20"/>
        </w:rPr>
        <w:t>difference is</w:t>
      </w:r>
      <w:r w:rsidR="000A38C9" w:rsidRPr="00FE5415">
        <w:rPr>
          <w:rFonts w:ascii="Times New Roman" w:hAnsi="Times New Roman" w:cs="Times New Roman"/>
          <w:sz w:val="20"/>
          <w:szCs w:val="20"/>
        </w:rPr>
        <w:t xml:space="preserve"> the population univ</w:t>
      </w:r>
      <w:r w:rsidR="00982C54" w:rsidRPr="00FE5415">
        <w:rPr>
          <w:rFonts w:ascii="Times New Roman" w:hAnsi="Times New Roman" w:cs="Times New Roman"/>
          <w:sz w:val="20"/>
          <w:szCs w:val="20"/>
        </w:rPr>
        <w:t>erse, which can be thought of as</w:t>
      </w:r>
      <w:r w:rsidR="00F7199E" w:rsidRPr="00FE5415">
        <w:rPr>
          <w:rFonts w:ascii="Times New Roman" w:hAnsi="Times New Roman" w:cs="Times New Roman"/>
          <w:sz w:val="20"/>
          <w:szCs w:val="20"/>
        </w:rPr>
        <w:t xml:space="preserve"> the people who are</w:t>
      </w:r>
      <w:r w:rsidR="00266696" w:rsidRPr="00FE5415">
        <w:rPr>
          <w:rFonts w:ascii="Times New Roman" w:hAnsi="Times New Roman" w:cs="Times New Roman"/>
          <w:sz w:val="20"/>
          <w:szCs w:val="20"/>
        </w:rPr>
        <w:t xml:space="preserve"> eligible to be included in the</w:t>
      </w:r>
      <w:r w:rsidR="00F7199E" w:rsidRPr="00FE5415">
        <w:rPr>
          <w:rFonts w:ascii="Times New Roman" w:hAnsi="Times New Roman" w:cs="Times New Roman"/>
          <w:sz w:val="20"/>
          <w:szCs w:val="20"/>
        </w:rPr>
        <w:t xml:space="preserve"> survey. </w:t>
      </w:r>
      <w:r w:rsidR="00EF6BA0" w:rsidRPr="00FE5415">
        <w:rPr>
          <w:rFonts w:ascii="Times New Roman" w:hAnsi="Times New Roman" w:cs="Times New Roman"/>
          <w:sz w:val="20"/>
          <w:szCs w:val="20"/>
        </w:rPr>
        <w:t xml:space="preserve">The </w:t>
      </w:r>
      <w:r w:rsidR="00F7199E" w:rsidRPr="00FE5415">
        <w:rPr>
          <w:rFonts w:ascii="Times New Roman" w:hAnsi="Times New Roman" w:cs="Times New Roman"/>
          <w:sz w:val="20"/>
          <w:szCs w:val="20"/>
        </w:rPr>
        <w:t>ASEC limits its population universe to the civilian noninstitutionalized population</w:t>
      </w:r>
      <w:r w:rsidR="007E45FB" w:rsidRPr="00FE5415">
        <w:rPr>
          <w:rFonts w:ascii="Times New Roman" w:hAnsi="Times New Roman" w:cs="Times New Roman"/>
          <w:sz w:val="20"/>
          <w:szCs w:val="20"/>
        </w:rPr>
        <w:t xml:space="preserve"> living in the United States</w:t>
      </w:r>
      <w:r w:rsidR="00EF6BA0" w:rsidRPr="00FE5415">
        <w:rPr>
          <w:rFonts w:ascii="Times New Roman" w:hAnsi="Times New Roman" w:cs="Times New Roman"/>
          <w:sz w:val="20"/>
          <w:szCs w:val="20"/>
        </w:rPr>
        <w:t xml:space="preserve">, whereas the </w:t>
      </w:r>
      <w:r w:rsidR="009C59B5" w:rsidRPr="00FE5415">
        <w:rPr>
          <w:rFonts w:ascii="Times New Roman" w:hAnsi="Times New Roman" w:cs="Times New Roman"/>
          <w:sz w:val="20"/>
          <w:szCs w:val="20"/>
        </w:rPr>
        <w:t xml:space="preserve">population universe for the </w:t>
      </w:r>
      <w:r w:rsidR="00EF6BA0" w:rsidRPr="00FE5415">
        <w:rPr>
          <w:rFonts w:ascii="Times New Roman" w:hAnsi="Times New Roman" w:cs="Times New Roman"/>
          <w:sz w:val="20"/>
          <w:szCs w:val="20"/>
        </w:rPr>
        <w:t>AC</w:t>
      </w:r>
      <w:r w:rsidR="00027B4E" w:rsidRPr="00FE5415">
        <w:rPr>
          <w:rFonts w:ascii="Times New Roman" w:hAnsi="Times New Roman" w:cs="Times New Roman"/>
          <w:sz w:val="20"/>
          <w:szCs w:val="20"/>
        </w:rPr>
        <w:t xml:space="preserve">S </w:t>
      </w:r>
      <w:r w:rsidR="00F74A16" w:rsidRPr="00FE5415">
        <w:rPr>
          <w:rFonts w:ascii="Times New Roman" w:hAnsi="Times New Roman" w:cs="Times New Roman"/>
          <w:sz w:val="20"/>
          <w:szCs w:val="20"/>
        </w:rPr>
        <w:t xml:space="preserve">is the </w:t>
      </w:r>
      <w:r w:rsidR="00A905BC">
        <w:rPr>
          <w:rFonts w:ascii="Times New Roman" w:hAnsi="Times New Roman" w:cs="Times New Roman"/>
          <w:sz w:val="20"/>
          <w:szCs w:val="20"/>
        </w:rPr>
        <w:t xml:space="preserve">resident </w:t>
      </w:r>
      <w:r w:rsidR="00F74A16" w:rsidRPr="00FE5415">
        <w:rPr>
          <w:rFonts w:ascii="Times New Roman" w:hAnsi="Times New Roman" w:cs="Times New Roman"/>
          <w:sz w:val="20"/>
          <w:szCs w:val="20"/>
        </w:rPr>
        <w:t>population living in housing units and group quarters. P</w:t>
      </w:r>
      <w:r w:rsidR="002F694E" w:rsidRPr="00FE5415">
        <w:rPr>
          <w:rFonts w:ascii="Times New Roman" w:hAnsi="Times New Roman" w:cs="Times New Roman"/>
          <w:sz w:val="20"/>
          <w:szCs w:val="20"/>
        </w:rPr>
        <w:t>eople living in institutional group quarters</w:t>
      </w:r>
      <w:r w:rsidR="0073609F" w:rsidRPr="00FE5415">
        <w:rPr>
          <w:rFonts w:ascii="Times New Roman" w:hAnsi="Times New Roman" w:cs="Times New Roman"/>
          <w:sz w:val="20"/>
          <w:szCs w:val="20"/>
        </w:rPr>
        <w:t>,</w:t>
      </w:r>
      <w:r w:rsidR="0073609F" w:rsidRPr="00FE5415">
        <w:rPr>
          <w:rFonts w:ascii="Times New Roman" w:hAnsi="Times New Roman" w:cs="Times New Roman"/>
        </w:rPr>
        <w:t xml:space="preserve"> </w:t>
      </w:r>
      <w:r w:rsidR="0073609F" w:rsidRPr="00FE5415">
        <w:rPr>
          <w:rFonts w:ascii="Times New Roman" w:hAnsi="Times New Roman" w:cs="Times New Roman"/>
          <w:sz w:val="20"/>
          <w:szCs w:val="20"/>
        </w:rPr>
        <w:t>members of the armed forces, and students living in dormitories</w:t>
      </w:r>
      <w:r w:rsidR="00F74A16" w:rsidRPr="00FE5415">
        <w:rPr>
          <w:rFonts w:ascii="Times New Roman" w:hAnsi="Times New Roman" w:cs="Times New Roman"/>
          <w:sz w:val="20"/>
          <w:szCs w:val="20"/>
        </w:rPr>
        <w:t xml:space="preserve"> are included in the population un</w:t>
      </w:r>
      <w:r w:rsidR="00CF5964" w:rsidRPr="00FE5415">
        <w:rPr>
          <w:rFonts w:ascii="Times New Roman" w:hAnsi="Times New Roman" w:cs="Times New Roman"/>
          <w:sz w:val="20"/>
          <w:szCs w:val="20"/>
        </w:rPr>
        <w:t>iverse of the ACS but not ASEC.</w:t>
      </w:r>
      <w:r w:rsidR="00A905BC" w:rsidRPr="00F421D6">
        <w:rPr>
          <w:rStyle w:val="FootnoteReference"/>
          <w:rFonts w:ascii="Times New Roman" w:hAnsi="Times New Roman" w:cs="Times New Roman"/>
          <w:sz w:val="20"/>
          <w:szCs w:val="20"/>
        </w:rPr>
        <w:footnoteReference w:id="22"/>
      </w:r>
      <w:r w:rsidR="00A905BC" w:rsidRPr="00FF5FD4">
        <w:rPr>
          <w:vertAlign w:val="superscript"/>
        </w:rPr>
        <w:t>,</w:t>
      </w:r>
      <w:r w:rsidR="00A905BC" w:rsidRPr="00F421D6">
        <w:rPr>
          <w:rStyle w:val="FootnoteReference"/>
          <w:rFonts w:ascii="Times New Roman" w:hAnsi="Times New Roman" w:cs="Times New Roman"/>
          <w:sz w:val="20"/>
          <w:szCs w:val="20"/>
        </w:rPr>
        <w:footnoteReference w:id="23"/>
      </w:r>
      <w:r w:rsidR="00A905BC" w:rsidRPr="00FF5FD4">
        <w:rPr>
          <w:vertAlign w:val="superscript"/>
        </w:rPr>
        <w:t>,</w:t>
      </w:r>
      <w:r w:rsidR="00A905BC" w:rsidRPr="00F421D6">
        <w:rPr>
          <w:rStyle w:val="FootnoteReference"/>
          <w:rFonts w:ascii="Times New Roman" w:hAnsi="Times New Roman" w:cs="Times New Roman"/>
          <w:sz w:val="20"/>
          <w:szCs w:val="20"/>
        </w:rPr>
        <w:footnoteReference w:id="24"/>
      </w:r>
      <w:r w:rsidR="000B51E4" w:rsidRPr="00F421D6">
        <w:rPr>
          <w:rFonts w:ascii="Times New Roman" w:hAnsi="Times New Roman" w:cs="Times New Roman"/>
          <w:sz w:val="20"/>
          <w:szCs w:val="20"/>
        </w:rPr>
        <w:t xml:space="preserve"> </w:t>
      </w:r>
      <w:r w:rsidR="000B51E4" w:rsidRPr="00FE5415">
        <w:rPr>
          <w:rFonts w:ascii="Times New Roman" w:hAnsi="Times New Roman" w:cs="Times New Roman"/>
          <w:sz w:val="20"/>
          <w:szCs w:val="20"/>
        </w:rPr>
        <w:t>For comparison purposes,</w:t>
      </w:r>
      <w:r w:rsidR="006100E9" w:rsidRPr="00FE5415">
        <w:rPr>
          <w:rFonts w:ascii="Times New Roman" w:hAnsi="Times New Roman" w:cs="Times New Roman"/>
          <w:sz w:val="20"/>
          <w:szCs w:val="20"/>
        </w:rPr>
        <w:t xml:space="preserve"> </w:t>
      </w:r>
      <w:r w:rsidR="00CF5964" w:rsidRPr="00FE5415">
        <w:rPr>
          <w:rFonts w:ascii="Times New Roman" w:hAnsi="Times New Roman" w:cs="Times New Roman"/>
          <w:b/>
          <w:sz w:val="20"/>
          <w:szCs w:val="20"/>
        </w:rPr>
        <w:t>Table 2</w:t>
      </w:r>
      <w:r w:rsidR="00CF5964" w:rsidRPr="00FE5415">
        <w:rPr>
          <w:rFonts w:ascii="Times New Roman" w:hAnsi="Times New Roman" w:cs="Times New Roman"/>
          <w:sz w:val="20"/>
          <w:szCs w:val="20"/>
        </w:rPr>
        <w:t xml:space="preserve"> contains </w:t>
      </w:r>
      <w:r w:rsidR="003C77A0" w:rsidRPr="00FE5415">
        <w:rPr>
          <w:rFonts w:ascii="Times New Roman" w:hAnsi="Times New Roman" w:cs="Times New Roman"/>
          <w:sz w:val="20"/>
          <w:szCs w:val="20"/>
        </w:rPr>
        <w:t>estimates</w:t>
      </w:r>
      <w:r w:rsidR="00C02C5F" w:rsidRPr="00FE5415">
        <w:rPr>
          <w:rFonts w:ascii="Times New Roman" w:hAnsi="Times New Roman" w:cs="Times New Roman"/>
          <w:sz w:val="20"/>
          <w:szCs w:val="20"/>
        </w:rPr>
        <w:t xml:space="preserve"> for the total population, total persons in households, and total persons in group qu</w:t>
      </w:r>
      <w:r w:rsidR="003930A0" w:rsidRPr="00FE5415">
        <w:rPr>
          <w:rFonts w:ascii="Times New Roman" w:hAnsi="Times New Roman" w:cs="Times New Roman"/>
          <w:sz w:val="20"/>
          <w:szCs w:val="20"/>
        </w:rPr>
        <w:t>arters captured in each survey</w:t>
      </w:r>
      <w:r w:rsidR="00CE2294" w:rsidRPr="00FE5415">
        <w:rPr>
          <w:rFonts w:ascii="Times New Roman" w:hAnsi="Times New Roman" w:cs="Times New Roman"/>
          <w:sz w:val="20"/>
          <w:szCs w:val="20"/>
        </w:rPr>
        <w:t xml:space="preserve"> for</w:t>
      </w:r>
      <w:r w:rsidR="003930A0" w:rsidRPr="00FE5415">
        <w:rPr>
          <w:rFonts w:ascii="Times New Roman" w:hAnsi="Times New Roman" w:cs="Times New Roman"/>
          <w:sz w:val="20"/>
          <w:szCs w:val="20"/>
        </w:rPr>
        <w:t xml:space="preserve"> data year 2013. There are about 5 million more people in the ACS total population estimate than ASEC. This is </w:t>
      </w:r>
      <w:r w:rsidR="00313A72">
        <w:rPr>
          <w:rFonts w:ascii="Times New Roman" w:hAnsi="Times New Roman" w:cs="Times New Roman"/>
          <w:sz w:val="20"/>
          <w:szCs w:val="20"/>
        </w:rPr>
        <w:t>primarily due to</w:t>
      </w:r>
      <w:r w:rsidR="003930A0" w:rsidRPr="00FE5415">
        <w:rPr>
          <w:rFonts w:ascii="Times New Roman" w:hAnsi="Times New Roman" w:cs="Times New Roman"/>
          <w:sz w:val="20"/>
          <w:szCs w:val="20"/>
        </w:rPr>
        <w:t xml:space="preserve"> the diffe</w:t>
      </w:r>
      <w:r w:rsidR="00CE2294" w:rsidRPr="00FE5415">
        <w:rPr>
          <w:rFonts w:ascii="Times New Roman" w:hAnsi="Times New Roman" w:cs="Times New Roman"/>
          <w:sz w:val="20"/>
          <w:szCs w:val="20"/>
        </w:rPr>
        <w:t>rence</w:t>
      </w:r>
      <w:r w:rsidR="00703CED">
        <w:rPr>
          <w:rFonts w:ascii="Times New Roman" w:hAnsi="Times New Roman" w:cs="Times New Roman"/>
          <w:sz w:val="20"/>
          <w:szCs w:val="20"/>
        </w:rPr>
        <w:t xml:space="preserve"> of about 7.8 million</w:t>
      </w:r>
      <w:r w:rsidR="00CE2294" w:rsidRPr="00FE5415">
        <w:rPr>
          <w:rFonts w:ascii="Times New Roman" w:hAnsi="Times New Roman" w:cs="Times New Roman"/>
          <w:sz w:val="20"/>
          <w:szCs w:val="20"/>
        </w:rPr>
        <w:t xml:space="preserve"> in </w:t>
      </w:r>
      <w:r w:rsidR="00703CED">
        <w:rPr>
          <w:rFonts w:ascii="Times New Roman" w:hAnsi="Times New Roman" w:cs="Times New Roman"/>
          <w:sz w:val="20"/>
          <w:szCs w:val="20"/>
        </w:rPr>
        <w:t xml:space="preserve">estimates of </w:t>
      </w:r>
      <w:r w:rsidR="00CE2294" w:rsidRPr="00FE5415">
        <w:rPr>
          <w:rFonts w:ascii="Times New Roman" w:hAnsi="Times New Roman" w:cs="Times New Roman"/>
          <w:sz w:val="20"/>
          <w:szCs w:val="20"/>
        </w:rPr>
        <w:t>group quarter residents</w:t>
      </w:r>
      <w:r w:rsidR="003930A0" w:rsidRPr="00FE5415">
        <w:rPr>
          <w:rFonts w:ascii="Times New Roman" w:hAnsi="Times New Roman" w:cs="Times New Roman"/>
          <w:sz w:val="20"/>
          <w:szCs w:val="20"/>
        </w:rPr>
        <w:t xml:space="preserve"> </w:t>
      </w:r>
      <w:r w:rsidR="00703CED">
        <w:rPr>
          <w:rFonts w:ascii="Times New Roman" w:hAnsi="Times New Roman" w:cs="Times New Roman"/>
          <w:sz w:val="20"/>
          <w:szCs w:val="20"/>
        </w:rPr>
        <w:t>in</w:t>
      </w:r>
      <w:r w:rsidR="003930A0" w:rsidRPr="00FE5415">
        <w:rPr>
          <w:rFonts w:ascii="Times New Roman" w:hAnsi="Times New Roman" w:cs="Times New Roman"/>
          <w:sz w:val="20"/>
          <w:szCs w:val="20"/>
        </w:rPr>
        <w:t xml:space="preserve"> </w:t>
      </w:r>
      <w:r w:rsidR="008A700F" w:rsidRPr="00FE5415">
        <w:rPr>
          <w:rFonts w:ascii="Times New Roman" w:hAnsi="Times New Roman" w:cs="Times New Roman"/>
          <w:sz w:val="20"/>
          <w:szCs w:val="20"/>
        </w:rPr>
        <w:t xml:space="preserve">the </w:t>
      </w:r>
      <w:r w:rsidR="003930A0" w:rsidRPr="00FE5415">
        <w:rPr>
          <w:rFonts w:ascii="Times New Roman" w:hAnsi="Times New Roman" w:cs="Times New Roman"/>
          <w:sz w:val="20"/>
          <w:szCs w:val="20"/>
        </w:rPr>
        <w:t xml:space="preserve">ACS (8.0 million) versus </w:t>
      </w:r>
      <w:r w:rsidR="00A10DA8">
        <w:rPr>
          <w:rFonts w:ascii="Times New Roman" w:hAnsi="Times New Roman" w:cs="Times New Roman"/>
          <w:sz w:val="20"/>
          <w:szCs w:val="20"/>
        </w:rPr>
        <w:t xml:space="preserve">the </w:t>
      </w:r>
      <w:r w:rsidR="003930A0" w:rsidRPr="00FE5415">
        <w:rPr>
          <w:rFonts w:ascii="Times New Roman" w:hAnsi="Times New Roman" w:cs="Times New Roman"/>
          <w:sz w:val="20"/>
          <w:szCs w:val="20"/>
        </w:rPr>
        <w:t>ASEC (</w:t>
      </w:r>
      <w:r w:rsidR="00CE2294" w:rsidRPr="00FE5415">
        <w:rPr>
          <w:rFonts w:ascii="Times New Roman" w:hAnsi="Times New Roman" w:cs="Times New Roman"/>
          <w:sz w:val="20"/>
          <w:szCs w:val="20"/>
        </w:rPr>
        <w:t>180,000).</w:t>
      </w:r>
      <w:r w:rsidR="00CF759A">
        <w:rPr>
          <w:rFonts w:ascii="Times New Roman" w:hAnsi="Times New Roman" w:cs="Times New Roman"/>
          <w:sz w:val="20"/>
          <w:szCs w:val="20"/>
        </w:rPr>
        <w:t xml:space="preserve">  </w:t>
      </w:r>
      <w:r w:rsidR="00A10DA8">
        <w:rPr>
          <w:rFonts w:ascii="Times New Roman" w:hAnsi="Times New Roman" w:cs="Times New Roman"/>
          <w:sz w:val="20"/>
          <w:szCs w:val="20"/>
        </w:rPr>
        <w:t xml:space="preserve">There is also a difference in the estimates of the household population, with a difference of around 2.8 million in the ACS (308.1 million) versus the ASEC (310.9 million).  </w:t>
      </w:r>
    </w:p>
    <w:p w:rsidR="0061178D" w:rsidRPr="00FE5415" w:rsidRDefault="0061178D" w:rsidP="00FC74D8">
      <w:pPr>
        <w:spacing w:line="240" w:lineRule="auto"/>
        <w:ind w:firstLine="720"/>
        <w:contextualSpacing/>
        <w:rPr>
          <w:rFonts w:ascii="Times New Roman" w:hAnsi="Times New Roman" w:cs="Times New Roman"/>
          <w:sz w:val="20"/>
          <w:szCs w:val="20"/>
        </w:rPr>
      </w:pPr>
    </w:p>
    <w:tbl>
      <w:tblPr>
        <w:tblW w:w="5680" w:type="dxa"/>
        <w:tblInd w:w="93" w:type="dxa"/>
        <w:tblLook w:val="04A0" w:firstRow="1" w:lastRow="0" w:firstColumn="1" w:lastColumn="0" w:noHBand="0" w:noVBand="1"/>
      </w:tblPr>
      <w:tblGrid>
        <w:gridCol w:w="960"/>
        <w:gridCol w:w="1400"/>
        <w:gridCol w:w="1620"/>
        <w:gridCol w:w="1700"/>
      </w:tblGrid>
      <w:tr w:rsidR="007D342D" w:rsidRPr="00FE5415" w:rsidTr="007D342D">
        <w:trPr>
          <w:trHeight w:val="300"/>
        </w:trPr>
        <w:tc>
          <w:tcPr>
            <w:tcW w:w="5680" w:type="dxa"/>
            <w:gridSpan w:val="4"/>
            <w:tcBorders>
              <w:top w:val="nil"/>
              <w:left w:val="nil"/>
              <w:bottom w:val="nil"/>
              <w:right w:val="nil"/>
            </w:tcBorders>
            <w:shd w:val="clear" w:color="auto" w:fill="auto"/>
            <w:noWrap/>
            <w:vAlign w:val="bottom"/>
            <w:hideMark/>
          </w:tcPr>
          <w:p w:rsidR="007D342D" w:rsidRPr="00FE5415" w:rsidRDefault="007D342D" w:rsidP="00B9396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Table 2. </w:t>
            </w:r>
            <w:r w:rsidR="00B93962">
              <w:rPr>
                <w:rFonts w:ascii="Times New Roman" w:eastAsia="Times New Roman" w:hAnsi="Times New Roman" w:cs="Times New Roman"/>
                <w:color w:val="000000"/>
                <w:sz w:val="20"/>
                <w:szCs w:val="20"/>
              </w:rPr>
              <w:t xml:space="preserve">Population </w:t>
            </w:r>
            <w:r w:rsidRPr="00FE5415">
              <w:rPr>
                <w:rFonts w:ascii="Times New Roman" w:eastAsia="Times New Roman" w:hAnsi="Times New Roman" w:cs="Times New Roman"/>
                <w:color w:val="000000"/>
                <w:sz w:val="20"/>
                <w:szCs w:val="20"/>
              </w:rPr>
              <w:t xml:space="preserve">Estimates </w:t>
            </w:r>
            <w:r w:rsidR="00B93962">
              <w:rPr>
                <w:rFonts w:ascii="Times New Roman" w:eastAsia="Times New Roman" w:hAnsi="Times New Roman" w:cs="Times New Roman"/>
                <w:color w:val="000000"/>
                <w:sz w:val="20"/>
                <w:szCs w:val="20"/>
              </w:rPr>
              <w:t>by Survey: 2013</w:t>
            </w:r>
          </w:p>
        </w:tc>
      </w:tr>
      <w:tr w:rsidR="007D342D" w:rsidRPr="00FE5415" w:rsidTr="007D342D">
        <w:trPr>
          <w:trHeight w:val="300"/>
        </w:trPr>
        <w:tc>
          <w:tcPr>
            <w:tcW w:w="2360" w:type="dxa"/>
            <w:gridSpan w:val="2"/>
            <w:tcBorders>
              <w:top w:val="nil"/>
              <w:left w:val="nil"/>
              <w:bottom w:val="single" w:sz="4" w:space="0" w:color="auto"/>
              <w:right w:val="nil"/>
            </w:tcBorders>
            <w:shd w:val="clear" w:color="auto" w:fill="auto"/>
            <w:noWrap/>
            <w:vAlign w:val="bottom"/>
            <w:hideMark/>
          </w:tcPr>
          <w:p w:rsidR="007D342D" w:rsidRPr="00FE5415" w:rsidRDefault="007D342D" w:rsidP="007D342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(Numbers in thousands)</w:t>
            </w:r>
          </w:p>
        </w:tc>
        <w:tc>
          <w:tcPr>
            <w:tcW w:w="1620" w:type="dxa"/>
            <w:tcBorders>
              <w:top w:val="nil"/>
              <w:left w:val="nil"/>
              <w:bottom w:val="nil"/>
              <w:right w:val="nil"/>
            </w:tcBorders>
            <w:shd w:val="clear" w:color="auto" w:fill="auto"/>
            <w:noWrap/>
            <w:vAlign w:val="bottom"/>
            <w:hideMark/>
          </w:tcPr>
          <w:p w:rsidR="007D342D" w:rsidRPr="00FE5415" w:rsidRDefault="007D342D" w:rsidP="007D342D">
            <w:pPr>
              <w:spacing w:after="0" w:line="240" w:lineRule="auto"/>
              <w:rPr>
                <w:rFonts w:ascii="Times New Roman" w:eastAsia="Times New Roman" w:hAnsi="Times New Roman" w:cs="Times New Roman"/>
                <w:color w:val="000000"/>
                <w:sz w:val="20"/>
                <w:szCs w:val="20"/>
              </w:rPr>
            </w:pPr>
          </w:p>
        </w:tc>
        <w:tc>
          <w:tcPr>
            <w:tcW w:w="1700" w:type="dxa"/>
            <w:tcBorders>
              <w:top w:val="nil"/>
              <w:left w:val="nil"/>
              <w:bottom w:val="nil"/>
              <w:right w:val="nil"/>
            </w:tcBorders>
            <w:shd w:val="clear" w:color="auto" w:fill="auto"/>
            <w:noWrap/>
            <w:vAlign w:val="bottom"/>
            <w:hideMark/>
          </w:tcPr>
          <w:p w:rsidR="007D342D" w:rsidRPr="00FE5415" w:rsidRDefault="007D342D" w:rsidP="007D342D">
            <w:pPr>
              <w:spacing w:after="0" w:line="240" w:lineRule="auto"/>
              <w:rPr>
                <w:rFonts w:ascii="Times New Roman" w:eastAsia="Times New Roman" w:hAnsi="Times New Roman" w:cs="Times New Roman"/>
                <w:color w:val="000000"/>
                <w:sz w:val="20"/>
                <w:szCs w:val="20"/>
              </w:rPr>
            </w:pPr>
          </w:p>
        </w:tc>
      </w:tr>
      <w:tr w:rsidR="007D342D" w:rsidRPr="00FE5415" w:rsidTr="00552E51">
        <w:trPr>
          <w:trHeight w:val="13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342D" w:rsidRPr="00FE5415" w:rsidRDefault="00ED56ED" w:rsidP="00ED56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Survey</w:t>
            </w:r>
          </w:p>
        </w:tc>
        <w:tc>
          <w:tcPr>
            <w:tcW w:w="1400" w:type="dxa"/>
            <w:tcBorders>
              <w:top w:val="nil"/>
              <w:left w:val="nil"/>
              <w:bottom w:val="single" w:sz="4" w:space="0" w:color="auto"/>
              <w:right w:val="single" w:sz="4" w:space="0" w:color="auto"/>
            </w:tcBorders>
            <w:shd w:val="clear" w:color="auto" w:fill="auto"/>
            <w:vAlign w:val="bottom"/>
            <w:hideMark/>
          </w:tcPr>
          <w:p w:rsidR="007D342D" w:rsidRPr="00FE5415" w:rsidRDefault="007D342D" w:rsidP="00552E51">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Total population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D342D" w:rsidRPr="00FE5415" w:rsidRDefault="00B93962" w:rsidP="00552E5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Household Population</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7D342D" w:rsidRPr="00FE5415" w:rsidRDefault="00B93962" w:rsidP="00552E5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Quarters Population</w:t>
            </w:r>
            <w:r w:rsidR="008C150F" w:rsidRPr="00552E51">
              <w:rPr>
                <w:rFonts w:ascii="Times New Roman" w:eastAsia="Times New Roman" w:hAnsi="Times New Roman" w:cs="Times New Roman"/>
                <w:color w:val="000000"/>
                <w:sz w:val="20"/>
                <w:szCs w:val="20"/>
                <w:vertAlign w:val="superscript"/>
              </w:rPr>
              <w:t>1</w:t>
            </w:r>
          </w:p>
        </w:tc>
      </w:tr>
      <w:tr w:rsidR="007D342D" w:rsidRPr="00FE5415" w:rsidTr="007D342D">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7D342D" w:rsidRPr="00FE5415" w:rsidRDefault="007D342D" w:rsidP="007D342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ASEC</w:t>
            </w:r>
          </w:p>
        </w:tc>
        <w:tc>
          <w:tcPr>
            <w:tcW w:w="1400" w:type="dxa"/>
            <w:tcBorders>
              <w:top w:val="nil"/>
              <w:left w:val="nil"/>
              <w:bottom w:val="nil"/>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311,116</w:t>
            </w:r>
          </w:p>
        </w:tc>
        <w:tc>
          <w:tcPr>
            <w:tcW w:w="1620" w:type="dxa"/>
            <w:tcBorders>
              <w:top w:val="nil"/>
              <w:left w:val="nil"/>
              <w:bottom w:val="nil"/>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310,936</w:t>
            </w:r>
          </w:p>
        </w:tc>
        <w:tc>
          <w:tcPr>
            <w:tcW w:w="1700" w:type="dxa"/>
            <w:tcBorders>
              <w:top w:val="nil"/>
              <w:left w:val="nil"/>
              <w:bottom w:val="nil"/>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180</w:t>
            </w:r>
          </w:p>
        </w:tc>
      </w:tr>
      <w:tr w:rsidR="007D342D" w:rsidRPr="00FE5415" w:rsidTr="007D342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D342D" w:rsidRPr="00FE5415" w:rsidRDefault="007D342D" w:rsidP="007D342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ACS</w:t>
            </w:r>
          </w:p>
        </w:tc>
        <w:tc>
          <w:tcPr>
            <w:tcW w:w="1400" w:type="dxa"/>
            <w:tcBorders>
              <w:top w:val="nil"/>
              <w:left w:val="nil"/>
              <w:bottom w:val="single" w:sz="4" w:space="0" w:color="auto"/>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316,129</w:t>
            </w:r>
          </w:p>
        </w:tc>
        <w:tc>
          <w:tcPr>
            <w:tcW w:w="1620" w:type="dxa"/>
            <w:tcBorders>
              <w:top w:val="nil"/>
              <w:left w:val="nil"/>
              <w:bottom w:val="single" w:sz="4" w:space="0" w:color="auto"/>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308,099</w:t>
            </w:r>
          </w:p>
        </w:tc>
        <w:tc>
          <w:tcPr>
            <w:tcW w:w="1700" w:type="dxa"/>
            <w:tcBorders>
              <w:top w:val="nil"/>
              <w:left w:val="nil"/>
              <w:bottom w:val="single" w:sz="4" w:space="0" w:color="auto"/>
              <w:right w:val="single" w:sz="4" w:space="0" w:color="auto"/>
            </w:tcBorders>
            <w:shd w:val="clear" w:color="auto" w:fill="auto"/>
            <w:noWrap/>
            <w:vAlign w:val="bottom"/>
            <w:hideMark/>
          </w:tcPr>
          <w:p w:rsidR="007D342D" w:rsidRPr="00FE5415" w:rsidRDefault="007D342D" w:rsidP="007D342D">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8,030</w:t>
            </w:r>
          </w:p>
        </w:tc>
      </w:tr>
      <w:tr w:rsidR="007D342D" w:rsidRPr="00FE5415" w:rsidTr="007D342D">
        <w:trPr>
          <w:trHeight w:val="1005"/>
        </w:trPr>
        <w:tc>
          <w:tcPr>
            <w:tcW w:w="5680" w:type="dxa"/>
            <w:gridSpan w:val="4"/>
            <w:tcBorders>
              <w:top w:val="single" w:sz="4" w:space="0" w:color="auto"/>
              <w:left w:val="nil"/>
              <w:bottom w:val="nil"/>
              <w:right w:val="nil"/>
            </w:tcBorders>
            <w:shd w:val="clear" w:color="auto" w:fill="auto"/>
            <w:hideMark/>
          </w:tcPr>
          <w:p w:rsidR="00935973" w:rsidRPr="00811AFF" w:rsidRDefault="00935973" w:rsidP="007D342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This table includes the population of all ages, including those under 1.</w:t>
            </w:r>
          </w:p>
          <w:p w:rsidR="008C150F" w:rsidRDefault="008C150F" w:rsidP="007D342D">
            <w:pPr>
              <w:spacing w:after="0" w:line="240" w:lineRule="auto"/>
              <w:rPr>
                <w:rFonts w:ascii="Times New Roman" w:eastAsia="Times New Roman" w:hAnsi="Times New Roman" w:cs="Times New Roman"/>
                <w:color w:val="000000"/>
                <w:sz w:val="20"/>
                <w:szCs w:val="20"/>
              </w:rPr>
            </w:pPr>
            <w:r w:rsidRPr="00552E51">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The group quarters population estimated in the ASEC includes only noninstitutionalized group quarters residents while the ACS includes both institutionalized and noninstitutionalized residents. </w:t>
            </w:r>
          </w:p>
          <w:p w:rsidR="007D342D" w:rsidRDefault="007D342D" w:rsidP="007D342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Sources: U.S. Census Bureau, Current Population Survey, Annual Social and Economic Supplement, 2013; American Community Survey, 2013. </w:t>
            </w:r>
          </w:p>
          <w:p w:rsidR="000D5FBA" w:rsidRPr="00FE5415" w:rsidRDefault="000D5FBA" w:rsidP="007D342D">
            <w:pPr>
              <w:spacing w:after="0" w:line="240" w:lineRule="auto"/>
              <w:rPr>
                <w:rFonts w:ascii="Times New Roman" w:eastAsia="Times New Roman" w:hAnsi="Times New Roman" w:cs="Times New Roman"/>
                <w:color w:val="000000"/>
                <w:sz w:val="20"/>
                <w:szCs w:val="20"/>
              </w:rPr>
            </w:pPr>
          </w:p>
        </w:tc>
      </w:tr>
    </w:tbl>
    <w:p w:rsidR="00A10DA8" w:rsidRDefault="00A10DA8" w:rsidP="00FC74D8">
      <w:pPr>
        <w:spacing w:line="240" w:lineRule="auto"/>
        <w:contextualSpacing/>
        <w:rPr>
          <w:rFonts w:ascii="Times New Roman" w:hAnsi="Times New Roman" w:cs="Times New Roman"/>
          <w:sz w:val="20"/>
          <w:szCs w:val="20"/>
        </w:rPr>
      </w:pPr>
    </w:p>
    <w:p w:rsidR="00062F38" w:rsidRDefault="000B51E4"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Why does </w:t>
      </w:r>
      <w:r w:rsidR="00FF5FD8" w:rsidRPr="00FE5415">
        <w:rPr>
          <w:rFonts w:ascii="Times New Roman" w:hAnsi="Times New Roman" w:cs="Times New Roman"/>
          <w:sz w:val="20"/>
          <w:szCs w:val="20"/>
        </w:rPr>
        <w:t>the inclusion of group quarters matter,</w:t>
      </w:r>
      <w:r w:rsidRPr="00FE5415">
        <w:rPr>
          <w:rFonts w:ascii="Times New Roman" w:hAnsi="Times New Roman" w:cs="Times New Roman"/>
          <w:sz w:val="20"/>
          <w:szCs w:val="20"/>
        </w:rPr>
        <w:t xml:space="preserve"> </w:t>
      </w:r>
      <w:r w:rsidR="00735125" w:rsidRPr="00FE5415">
        <w:rPr>
          <w:rFonts w:ascii="Times New Roman" w:hAnsi="Times New Roman" w:cs="Times New Roman"/>
          <w:sz w:val="20"/>
          <w:szCs w:val="20"/>
        </w:rPr>
        <w:t xml:space="preserve">especially </w:t>
      </w:r>
      <w:r w:rsidR="00FF5FD8" w:rsidRPr="00FE5415">
        <w:rPr>
          <w:rFonts w:ascii="Times New Roman" w:hAnsi="Times New Roman" w:cs="Times New Roman"/>
          <w:sz w:val="20"/>
          <w:szCs w:val="20"/>
        </w:rPr>
        <w:t>as it relates to</w:t>
      </w:r>
      <w:r w:rsidRPr="00FE5415">
        <w:rPr>
          <w:rFonts w:ascii="Times New Roman" w:hAnsi="Times New Roman" w:cs="Times New Roman"/>
          <w:sz w:val="20"/>
          <w:szCs w:val="20"/>
        </w:rPr>
        <w:t xml:space="preserve"> migration? </w:t>
      </w:r>
      <w:r w:rsidR="001C0D20">
        <w:rPr>
          <w:rFonts w:ascii="Times New Roman" w:hAnsi="Times New Roman" w:cs="Times New Roman"/>
          <w:sz w:val="20"/>
          <w:szCs w:val="20"/>
        </w:rPr>
        <w:t xml:space="preserve">The </w:t>
      </w:r>
      <w:r w:rsidR="001C0D20" w:rsidRPr="00FE5415">
        <w:rPr>
          <w:rFonts w:ascii="Times New Roman" w:hAnsi="Times New Roman" w:cs="Times New Roman"/>
          <w:sz w:val="20"/>
          <w:szCs w:val="20"/>
        </w:rPr>
        <w:t>2013</w:t>
      </w:r>
      <w:r w:rsidR="009D7776" w:rsidRPr="00FE5415">
        <w:rPr>
          <w:rFonts w:ascii="Times New Roman" w:hAnsi="Times New Roman" w:cs="Times New Roman"/>
          <w:sz w:val="20"/>
          <w:szCs w:val="20"/>
        </w:rPr>
        <w:t xml:space="preserve"> ACS data in </w:t>
      </w:r>
      <w:r w:rsidRPr="00FE5415">
        <w:rPr>
          <w:rFonts w:ascii="Times New Roman" w:hAnsi="Times New Roman" w:cs="Times New Roman"/>
          <w:b/>
          <w:sz w:val="20"/>
          <w:szCs w:val="20"/>
        </w:rPr>
        <w:t>Table 3</w:t>
      </w:r>
      <w:r w:rsidR="00250EAB" w:rsidRPr="00FE5415">
        <w:rPr>
          <w:rFonts w:ascii="Times New Roman" w:hAnsi="Times New Roman" w:cs="Times New Roman"/>
          <w:sz w:val="20"/>
          <w:szCs w:val="20"/>
        </w:rPr>
        <w:t xml:space="preserve">, </w:t>
      </w:r>
      <w:r w:rsidR="001C0D20">
        <w:rPr>
          <w:rFonts w:ascii="Times New Roman" w:hAnsi="Times New Roman" w:cs="Times New Roman"/>
          <w:sz w:val="20"/>
          <w:szCs w:val="20"/>
        </w:rPr>
        <w:t xml:space="preserve">show </w:t>
      </w:r>
      <w:r w:rsidR="00250EAB" w:rsidRPr="00FE5415">
        <w:rPr>
          <w:rFonts w:ascii="Times New Roman" w:hAnsi="Times New Roman" w:cs="Times New Roman"/>
          <w:sz w:val="20"/>
          <w:szCs w:val="20"/>
        </w:rPr>
        <w:t>group quarter</w:t>
      </w:r>
      <w:r w:rsidR="001C0D20">
        <w:rPr>
          <w:rFonts w:ascii="Times New Roman" w:hAnsi="Times New Roman" w:cs="Times New Roman"/>
          <w:sz w:val="20"/>
          <w:szCs w:val="20"/>
        </w:rPr>
        <w:t>s’</w:t>
      </w:r>
      <w:r w:rsidR="00250EAB" w:rsidRPr="00FE5415">
        <w:rPr>
          <w:rFonts w:ascii="Times New Roman" w:hAnsi="Times New Roman" w:cs="Times New Roman"/>
          <w:sz w:val="20"/>
          <w:szCs w:val="20"/>
        </w:rPr>
        <w:t xml:space="preserve"> residents are more mobile than the population living in housing units. </w:t>
      </w:r>
      <w:r w:rsidRPr="00FE5415">
        <w:rPr>
          <w:rFonts w:ascii="Times New Roman" w:hAnsi="Times New Roman" w:cs="Times New Roman"/>
          <w:sz w:val="20"/>
          <w:szCs w:val="20"/>
        </w:rPr>
        <w:t xml:space="preserve">In fact, most </w:t>
      </w:r>
      <w:r w:rsidR="001C0D20">
        <w:rPr>
          <w:rFonts w:ascii="Times New Roman" w:hAnsi="Times New Roman" w:cs="Times New Roman"/>
          <w:sz w:val="20"/>
          <w:szCs w:val="20"/>
        </w:rPr>
        <w:t xml:space="preserve">types of </w:t>
      </w:r>
      <w:r w:rsidR="00250EAB" w:rsidRPr="00FE5415">
        <w:rPr>
          <w:rFonts w:ascii="Times New Roman" w:hAnsi="Times New Roman" w:cs="Times New Roman"/>
          <w:sz w:val="20"/>
          <w:szCs w:val="20"/>
        </w:rPr>
        <w:t xml:space="preserve">group </w:t>
      </w:r>
      <w:r w:rsidR="001C0D20">
        <w:rPr>
          <w:rFonts w:ascii="Times New Roman" w:hAnsi="Times New Roman" w:cs="Times New Roman"/>
          <w:sz w:val="20"/>
          <w:szCs w:val="20"/>
        </w:rPr>
        <w:t>quarters</w:t>
      </w:r>
      <w:r w:rsidR="00250EAB" w:rsidRPr="00FE5415">
        <w:rPr>
          <w:rFonts w:ascii="Times New Roman" w:hAnsi="Times New Roman" w:cs="Times New Roman"/>
          <w:sz w:val="20"/>
          <w:szCs w:val="20"/>
        </w:rPr>
        <w:t xml:space="preserve"> </w:t>
      </w:r>
      <w:r w:rsidRPr="00FE5415">
        <w:rPr>
          <w:rFonts w:ascii="Times New Roman" w:hAnsi="Times New Roman" w:cs="Times New Roman"/>
          <w:sz w:val="20"/>
          <w:szCs w:val="20"/>
        </w:rPr>
        <w:t xml:space="preserve">have </w:t>
      </w:r>
      <w:r w:rsidR="00072EC9" w:rsidRPr="00FE5415">
        <w:rPr>
          <w:rFonts w:ascii="Times New Roman" w:hAnsi="Times New Roman" w:cs="Times New Roman"/>
          <w:sz w:val="20"/>
          <w:szCs w:val="20"/>
        </w:rPr>
        <w:t xml:space="preserve">mover </w:t>
      </w:r>
      <w:r w:rsidRPr="00FE5415">
        <w:rPr>
          <w:rFonts w:ascii="Times New Roman" w:hAnsi="Times New Roman" w:cs="Times New Roman"/>
          <w:sz w:val="20"/>
          <w:szCs w:val="20"/>
        </w:rPr>
        <w:t>rates between 40 and 60 percent, far greater than the 14.2 percent of peopl</w:t>
      </w:r>
      <w:r w:rsidR="003012D5" w:rsidRPr="00FE5415">
        <w:rPr>
          <w:rFonts w:ascii="Times New Roman" w:hAnsi="Times New Roman" w:cs="Times New Roman"/>
          <w:sz w:val="20"/>
          <w:szCs w:val="20"/>
        </w:rPr>
        <w:t>e</w:t>
      </w:r>
      <w:r w:rsidRPr="00FE5415">
        <w:rPr>
          <w:rFonts w:ascii="Times New Roman" w:hAnsi="Times New Roman" w:cs="Times New Roman"/>
          <w:sz w:val="20"/>
          <w:szCs w:val="20"/>
        </w:rPr>
        <w:t xml:space="preserve"> living in housing units. This helps</w:t>
      </w:r>
      <w:r w:rsidR="001D21D7" w:rsidRPr="00FE5415">
        <w:rPr>
          <w:rFonts w:ascii="Times New Roman" w:hAnsi="Times New Roman" w:cs="Times New Roman"/>
          <w:sz w:val="20"/>
          <w:szCs w:val="20"/>
        </w:rPr>
        <w:t xml:space="preserve"> partially to explain</w:t>
      </w:r>
      <w:r w:rsidRPr="00FE5415">
        <w:rPr>
          <w:rFonts w:ascii="Times New Roman" w:hAnsi="Times New Roman" w:cs="Times New Roman"/>
          <w:sz w:val="20"/>
          <w:szCs w:val="20"/>
        </w:rPr>
        <w:t xml:space="preserve"> why migration estimates differ between the surveys.</w:t>
      </w: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Default="00062F38" w:rsidP="00FC74D8">
      <w:pPr>
        <w:spacing w:line="240" w:lineRule="auto"/>
        <w:contextualSpacing/>
        <w:rPr>
          <w:rFonts w:ascii="Times New Roman" w:hAnsi="Times New Roman" w:cs="Times New Roman"/>
          <w:sz w:val="20"/>
          <w:szCs w:val="20"/>
        </w:rPr>
      </w:pPr>
    </w:p>
    <w:p w:rsidR="00062F38" w:rsidRPr="00FE5415" w:rsidRDefault="00062F38" w:rsidP="00FC74D8">
      <w:pPr>
        <w:spacing w:line="240" w:lineRule="auto"/>
        <w:contextualSpacing/>
        <w:rPr>
          <w:rFonts w:ascii="Times New Roman" w:hAnsi="Times New Roman" w:cs="Times New Roman"/>
          <w:sz w:val="20"/>
          <w:szCs w:val="20"/>
        </w:rPr>
      </w:pPr>
    </w:p>
    <w:p w:rsidR="001A3C61" w:rsidRDefault="001A3C61" w:rsidP="00CE08F2">
      <w:pPr>
        <w:spacing w:line="240" w:lineRule="auto"/>
        <w:contextualSpacing/>
        <w:rPr>
          <w:rFonts w:ascii="Times New Roman" w:hAnsi="Times New Roman" w:cs="Times New Roman"/>
          <w:sz w:val="20"/>
          <w:szCs w:val="20"/>
        </w:rPr>
      </w:pPr>
    </w:p>
    <w:p w:rsidR="00702517" w:rsidRPr="00FE5415" w:rsidRDefault="00702517" w:rsidP="00FC74D8">
      <w:pPr>
        <w:spacing w:line="240" w:lineRule="auto"/>
        <w:ind w:firstLine="720"/>
        <w:contextualSpacing/>
        <w:rPr>
          <w:rFonts w:ascii="Times New Roman" w:hAnsi="Times New Roman" w:cs="Times New Roman"/>
          <w:sz w:val="20"/>
          <w:szCs w:val="20"/>
        </w:rPr>
      </w:pPr>
    </w:p>
    <w:tbl>
      <w:tblPr>
        <w:tblW w:w="9320" w:type="dxa"/>
        <w:tblInd w:w="93" w:type="dxa"/>
        <w:tblLook w:val="04A0" w:firstRow="1" w:lastRow="0" w:firstColumn="1" w:lastColumn="0" w:noHBand="0" w:noVBand="1"/>
      </w:tblPr>
      <w:tblGrid>
        <w:gridCol w:w="4300"/>
        <w:gridCol w:w="2220"/>
        <w:gridCol w:w="840"/>
        <w:gridCol w:w="1000"/>
        <w:gridCol w:w="960"/>
      </w:tblGrid>
      <w:tr w:rsidR="003456C2" w:rsidRPr="00FE5415" w:rsidTr="003456C2">
        <w:trPr>
          <w:trHeight w:val="315"/>
        </w:trPr>
        <w:tc>
          <w:tcPr>
            <w:tcW w:w="9320" w:type="dxa"/>
            <w:gridSpan w:val="5"/>
            <w:tcBorders>
              <w:top w:val="nil"/>
              <w:left w:val="nil"/>
              <w:bottom w:val="nil"/>
              <w:right w:val="nil"/>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Table 3. Population and Mover Rate by Housing Unit and Selected Group Quarters Types: 2013</w:t>
            </w:r>
            <w:r w:rsidR="005C16C0" w:rsidRPr="00FE5415">
              <w:rPr>
                <w:rFonts w:ascii="Times New Roman" w:eastAsia="Times New Roman" w:hAnsi="Times New Roman" w:cs="Times New Roman"/>
                <w:color w:val="000000"/>
                <w:sz w:val="20"/>
                <w:szCs w:val="20"/>
              </w:rPr>
              <w:t xml:space="preserve"> ACS</w:t>
            </w:r>
          </w:p>
        </w:tc>
      </w:tr>
      <w:tr w:rsidR="003456C2" w:rsidRPr="00FE5415" w:rsidTr="00117E8A">
        <w:trPr>
          <w:trHeight w:val="114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6C2" w:rsidRPr="00FE5415" w:rsidRDefault="00654030" w:rsidP="00117E8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Population Universe</w:t>
            </w:r>
          </w:p>
        </w:tc>
        <w:tc>
          <w:tcPr>
            <w:tcW w:w="2220" w:type="dxa"/>
            <w:tcBorders>
              <w:top w:val="single" w:sz="4" w:space="0" w:color="auto"/>
              <w:left w:val="nil"/>
              <w:bottom w:val="single" w:sz="4" w:space="0" w:color="auto"/>
              <w:right w:val="single" w:sz="4" w:space="0" w:color="auto"/>
            </w:tcBorders>
            <w:shd w:val="clear" w:color="auto" w:fill="auto"/>
            <w:vAlign w:val="bottom"/>
            <w:hideMark/>
          </w:tcPr>
          <w:p w:rsidR="00654030" w:rsidRDefault="003456C2" w:rsidP="00117E8A">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Population, 1 year and over </w:t>
            </w:r>
          </w:p>
          <w:p w:rsidR="003456C2" w:rsidRPr="00FE5415" w:rsidRDefault="003456C2" w:rsidP="00117E8A">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(in thousands)</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3456C2" w:rsidRPr="00FE5415" w:rsidRDefault="003456C2" w:rsidP="00117E8A">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3456C2" w:rsidRPr="00FE5415" w:rsidRDefault="003456C2" w:rsidP="00117E8A">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Mover Rate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456C2" w:rsidRPr="00FE5415" w:rsidRDefault="003456C2" w:rsidP="00117E8A">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MOE</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Total</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312,433</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15.0</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0.1</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Total in Housing Units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304,407</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29</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14.2</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0.1</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Total in Group Quarters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8,026</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47.9</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0.3</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Institutionalized Group Quarters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3,959</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43.0</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0.4</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Adult Correctional Facilities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2,234</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51.0</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0.6</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Nursing Facilities/Skilled Nursing Facilities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1,500</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28.8</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0.5</w:t>
            </w:r>
          </w:p>
        </w:tc>
      </w:tr>
      <w:tr w:rsidR="003456C2" w:rsidRPr="00FE5415" w:rsidTr="003456C2">
        <w:trPr>
          <w:trHeight w:val="300"/>
        </w:trPr>
        <w:tc>
          <w:tcPr>
            <w:tcW w:w="4300" w:type="dxa"/>
            <w:tcBorders>
              <w:top w:val="nil"/>
              <w:left w:val="single" w:sz="4" w:space="0" w:color="auto"/>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Noninstitutionalized Group Quarters</w:t>
            </w:r>
          </w:p>
        </w:tc>
        <w:tc>
          <w:tcPr>
            <w:tcW w:w="222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4,068</w:t>
            </w:r>
          </w:p>
        </w:tc>
        <w:tc>
          <w:tcPr>
            <w:tcW w:w="84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w:t>
            </w:r>
          </w:p>
        </w:tc>
        <w:tc>
          <w:tcPr>
            <w:tcW w:w="100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52.6</w:t>
            </w:r>
          </w:p>
        </w:tc>
        <w:tc>
          <w:tcPr>
            <w:tcW w:w="960" w:type="dxa"/>
            <w:tcBorders>
              <w:top w:val="nil"/>
              <w:left w:val="nil"/>
              <w:bottom w:val="nil"/>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0.4</w:t>
            </w:r>
          </w:p>
        </w:tc>
      </w:tr>
      <w:tr w:rsidR="003456C2" w:rsidRPr="00FE5415" w:rsidTr="003456C2">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     College/University Housing</w:t>
            </w:r>
          </w:p>
        </w:tc>
        <w:tc>
          <w:tcPr>
            <w:tcW w:w="2220" w:type="dxa"/>
            <w:tcBorders>
              <w:top w:val="nil"/>
              <w:left w:val="nil"/>
              <w:bottom w:val="single" w:sz="4" w:space="0" w:color="auto"/>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2,605</w:t>
            </w:r>
          </w:p>
        </w:tc>
        <w:tc>
          <w:tcPr>
            <w:tcW w:w="840" w:type="dxa"/>
            <w:tcBorders>
              <w:top w:val="nil"/>
              <w:left w:val="nil"/>
              <w:bottom w:val="single" w:sz="4" w:space="0" w:color="auto"/>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bottom"/>
            <w:hideMark/>
          </w:tcPr>
          <w:p w:rsidR="003456C2" w:rsidRPr="00FE5415" w:rsidRDefault="003456C2">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57.0</w:t>
            </w:r>
          </w:p>
        </w:tc>
        <w:tc>
          <w:tcPr>
            <w:tcW w:w="960" w:type="dxa"/>
            <w:tcBorders>
              <w:top w:val="nil"/>
              <w:left w:val="nil"/>
              <w:bottom w:val="single" w:sz="4" w:space="0" w:color="auto"/>
              <w:right w:val="single" w:sz="4" w:space="0" w:color="auto"/>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r w:rsidR="0042123B" w:rsidRPr="00FE5415">
              <w:rPr>
                <w:rFonts w:ascii="Times New Roman" w:eastAsia="Times New Roman" w:hAnsi="Times New Roman" w:cs="Times New Roman"/>
                <w:color w:val="000000"/>
                <w:sz w:val="20"/>
                <w:szCs w:val="20"/>
              </w:rPr>
              <w:t>0.5</w:t>
            </w:r>
          </w:p>
        </w:tc>
      </w:tr>
      <w:tr w:rsidR="003456C2" w:rsidRPr="00FE5415" w:rsidTr="003456C2">
        <w:trPr>
          <w:trHeight w:val="315"/>
        </w:trPr>
        <w:tc>
          <w:tcPr>
            <w:tcW w:w="8360" w:type="dxa"/>
            <w:gridSpan w:val="4"/>
            <w:tcBorders>
              <w:top w:val="single" w:sz="4" w:space="0" w:color="auto"/>
              <w:left w:val="nil"/>
              <w:bottom w:val="nil"/>
              <w:right w:val="nil"/>
            </w:tcBorders>
            <w:shd w:val="clear" w:color="auto" w:fill="auto"/>
            <w:noWrap/>
            <w:vAlign w:val="bottom"/>
            <w:hideMark/>
          </w:tcPr>
          <w:p w:rsidR="00654030" w:rsidRPr="00FE5415" w:rsidRDefault="00654030" w:rsidP="0065403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MOE = Margin of error based on </w:t>
            </w:r>
            <w:r w:rsidR="00CE350F">
              <w:rPr>
                <w:rFonts w:ascii="Times New Roman" w:eastAsia="Times New Roman" w:hAnsi="Times New Roman" w:cs="Times New Roman"/>
                <w:color w:val="000000"/>
                <w:sz w:val="20"/>
                <w:szCs w:val="20"/>
              </w:rPr>
              <w:t>90</w:t>
            </w:r>
            <w:r>
              <w:rPr>
                <w:rFonts w:ascii="Times New Roman" w:eastAsia="Times New Roman" w:hAnsi="Times New Roman" w:cs="Times New Roman"/>
                <w:color w:val="000000"/>
                <w:sz w:val="20"/>
                <w:szCs w:val="20"/>
              </w:rPr>
              <w:t>% confidence interval.</w:t>
            </w:r>
          </w:p>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Source: U.S. Census Bureau, American Community Survey, 2013 1-year estimates. </w:t>
            </w:r>
          </w:p>
        </w:tc>
        <w:tc>
          <w:tcPr>
            <w:tcW w:w="960" w:type="dxa"/>
            <w:tcBorders>
              <w:top w:val="nil"/>
              <w:left w:val="nil"/>
              <w:bottom w:val="nil"/>
              <w:right w:val="nil"/>
            </w:tcBorders>
            <w:shd w:val="clear" w:color="auto" w:fill="auto"/>
            <w:noWrap/>
            <w:vAlign w:val="bottom"/>
            <w:hideMark/>
          </w:tcPr>
          <w:p w:rsidR="003456C2" w:rsidRPr="00FE5415" w:rsidRDefault="003456C2">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w:t>
            </w:r>
          </w:p>
        </w:tc>
      </w:tr>
    </w:tbl>
    <w:p w:rsidR="00D60B02" w:rsidRDefault="00D60B02" w:rsidP="00FC74D8">
      <w:pPr>
        <w:spacing w:line="240" w:lineRule="auto"/>
        <w:contextualSpacing/>
        <w:rPr>
          <w:rFonts w:ascii="Times New Roman" w:hAnsi="Times New Roman" w:cs="Times New Roman"/>
          <w:sz w:val="20"/>
          <w:szCs w:val="20"/>
        </w:rPr>
      </w:pPr>
    </w:p>
    <w:p w:rsidR="00D60B02" w:rsidRDefault="00D60B02" w:rsidP="00FC74D8">
      <w:pPr>
        <w:spacing w:line="240" w:lineRule="auto"/>
        <w:contextualSpacing/>
        <w:rPr>
          <w:rFonts w:ascii="Times New Roman" w:hAnsi="Times New Roman" w:cs="Times New Roman"/>
          <w:sz w:val="20"/>
          <w:szCs w:val="20"/>
        </w:rPr>
      </w:pPr>
    </w:p>
    <w:p w:rsidR="00D11019" w:rsidRPr="00FE5415" w:rsidRDefault="00D11019"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Residency Rules</w:t>
      </w:r>
    </w:p>
    <w:p w:rsidR="00A452E7" w:rsidRPr="00FE5415" w:rsidRDefault="00A452E7" w:rsidP="00FC74D8">
      <w:pPr>
        <w:spacing w:line="240" w:lineRule="auto"/>
        <w:contextualSpacing/>
        <w:rPr>
          <w:rFonts w:ascii="Times New Roman" w:hAnsi="Times New Roman" w:cs="Times New Roman"/>
          <w:b/>
          <w:sz w:val="20"/>
          <w:szCs w:val="20"/>
        </w:rPr>
      </w:pPr>
    </w:p>
    <w:p w:rsidR="001B1B34" w:rsidRDefault="00D11019" w:rsidP="003F7DC1">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Residency rules play a critical part in surveys, and by extension migration data, as they dictate where respondents are recorded as living. The ACS has a “two-month rule</w:t>
      </w:r>
      <w:r w:rsidR="00353E11">
        <w:rPr>
          <w:rFonts w:ascii="Times New Roman" w:hAnsi="Times New Roman" w:cs="Times New Roman"/>
          <w:sz w:val="20"/>
          <w:szCs w:val="20"/>
        </w:rPr>
        <w:t>.</w:t>
      </w:r>
      <w:r w:rsidRPr="00FE5415">
        <w:rPr>
          <w:rFonts w:ascii="Times New Roman" w:hAnsi="Times New Roman" w:cs="Times New Roman"/>
          <w:sz w:val="20"/>
          <w:szCs w:val="20"/>
        </w:rPr>
        <w:t xml:space="preserve">” </w:t>
      </w:r>
      <w:r w:rsidR="00F700F1" w:rsidRPr="00FE5415">
        <w:rPr>
          <w:rFonts w:ascii="Times New Roman" w:hAnsi="Times New Roman" w:cs="Times New Roman"/>
          <w:sz w:val="20"/>
          <w:szCs w:val="20"/>
        </w:rPr>
        <w:t>A</w:t>
      </w:r>
      <w:r w:rsidRPr="00FE5415">
        <w:rPr>
          <w:rFonts w:ascii="Times New Roman" w:hAnsi="Times New Roman" w:cs="Times New Roman"/>
          <w:sz w:val="20"/>
          <w:szCs w:val="20"/>
        </w:rPr>
        <w:t xml:space="preserve"> person is considered to be living or staying at a location if they stayed there, or planned to stay, for more than two months.</w:t>
      </w:r>
      <w:r w:rsidRPr="00FE5415">
        <w:rPr>
          <w:rStyle w:val="FootnoteReference"/>
          <w:rFonts w:ascii="Times New Roman" w:hAnsi="Times New Roman" w:cs="Times New Roman"/>
          <w:sz w:val="20"/>
          <w:szCs w:val="20"/>
        </w:rPr>
        <w:footnoteReference w:id="25"/>
      </w:r>
      <w:r w:rsidRPr="00FE5415">
        <w:rPr>
          <w:rFonts w:ascii="Times New Roman" w:hAnsi="Times New Roman" w:cs="Times New Roman"/>
          <w:sz w:val="20"/>
          <w:szCs w:val="20"/>
        </w:rPr>
        <w:t xml:space="preserve"> </w:t>
      </w:r>
      <w:r w:rsidR="00353E11">
        <w:rPr>
          <w:rFonts w:ascii="Times New Roman" w:hAnsi="Times New Roman" w:cs="Times New Roman"/>
          <w:sz w:val="20"/>
          <w:szCs w:val="20"/>
        </w:rPr>
        <w:t xml:space="preserve">The </w:t>
      </w:r>
      <w:r w:rsidRPr="00FE5415">
        <w:rPr>
          <w:rFonts w:ascii="Times New Roman" w:hAnsi="Times New Roman" w:cs="Times New Roman"/>
          <w:sz w:val="20"/>
          <w:szCs w:val="20"/>
        </w:rPr>
        <w:t xml:space="preserve">ASEC utilizes the “usual residence” rule, where respondents determine where they usually reside. </w:t>
      </w:r>
      <w:r w:rsidR="0006258B" w:rsidRPr="00FE5415">
        <w:rPr>
          <w:rFonts w:ascii="Times New Roman" w:hAnsi="Times New Roman" w:cs="Times New Roman"/>
          <w:sz w:val="20"/>
          <w:szCs w:val="20"/>
        </w:rPr>
        <w:t xml:space="preserve">College students present unique challenges for both surveys. In terms of ASEC, the student may be living in the dormitory but their parents think of them as a usual resident in the family home. </w:t>
      </w:r>
      <w:r w:rsidR="00927E7A" w:rsidRPr="00FE5415">
        <w:rPr>
          <w:rFonts w:ascii="Times New Roman" w:hAnsi="Times New Roman" w:cs="Times New Roman"/>
          <w:sz w:val="20"/>
          <w:szCs w:val="20"/>
        </w:rPr>
        <w:t>In this scenario, the college student’s usual residence would be the parental home</w:t>
      </w:r>
      <w:r w:rsidR="00E64538">
        <w:rPr>
          <w:rFonts w:ascii="Times New Roman" w:hAnsi="Times New Roman" w:cs="Times New Roman"/>
          <w:sz w:val="20"/>
          <w:szCs w:val="20"/>
        </w:rPr>
        <w:t>, even though they may not be physically living there</w:t>
      </w:r>
      <w:r w:rsidR="003F7DC1">
        <w:rPr>
          <w:rFonts w:ascii="Times New Roman" w:hAnsi="Times New Roman" w:cs="Times New Roman"/>
          <w:sz w:val="20"/>
          <w:szCs w:val="20"/>
        </w:rPr>
        <w:t xml:space="preserve"> at the time of the survey</w:t>
      </w:r>
      <w:r w:rsidR="00927E7A" w:rsidRPr="00FE5415">
        <w:rPr>
          <w:rFonts w:ascii="Times New Roman" w:hAnsi="Times New Roman" w:cs="Times New Roman"/>
          <w:sz w:val="20"/>
          <w:szCs w:val="20"/>
        </w:rPr>
        <w:t xml:space="preserve">. </w:t>
      </w:r>
      <w:r w:rsidR="0006258B" w:rsidRPr="00FE5415">
        <w:rPr>
          <w:rFonts w:ascii="Times New Roman" w:hAnsi="Times New Roman" w:cs="Times New Roman"/>
          <w:sz w:val="20"/>
          <w:szCs w:val="20"/>
        </w:rPr>
        <w:t>However, if the parents do not record them as a usual resident and they are living in a college dorm, then they would not</w:t>
      </w:r>
      <w:r w:rsidR="00392C08" w:rsidRPr="00FE5415">
        <w:rPr>
          <w:rFonts w:ascii="Times New Roman" w:hAnsi="Times New Roman" w:cs="Times New Roman"/>
          <w:sz w:val="20"/>
          <w:szCs w:val="20"/>
        </w:rPr>
        <w:t xml:space="preserve"> be included because ASEC does not attempt to collect information at college dormitories. </w:t>
      </w:r>
      <w:r w:rsidR="003F7DC1" w:rsidRPr="003F7DC1">
        <w:rPr>
          <w:rFonts w:ascii="Times New Roman" w:hAnsi="Times New Roman" w:cs="Times New Roman"/>
          <w:sz w:val="20"/>
          <w:szCs w:val="20"/>
        </w:rPr>
        <w:t>The ACS differs because a student could be surveyed at either the parental home or dormitory, which may change their mobility status depending on the situation.</w:t>
      </w:r>
      <w:r w:rsidR="00803C26" w:rsidRPr="00803C26">
        <w:rPr>
          <w:rFonts w:ascii="Times New Roman" w:hAnsi="Times New Roman" w:cs="Times New Roman"/>
          <w:sz w:val="20"/>
          <w:szCs w:val="20"/>
          <w:vertAlign w:val="superscript"/>
        </w:rPr>
        <w:footnoteReference w:id="26"/>
      </w:r>
      <w:r w:rsidR="003F7DC1" w:rsidRPr="003F7DC1">
        <w:rPr>
          <w:rFonts w:ascii="Times New Roman" w:hAnsi="Times New Roman" w:cs="Times New Roman"/>
          <w:sz w:val="20"/>
          <w:szCs w:val="20"/>
        </w:rPr>
        <w:t> For example, a college student who returned home for 2 months over summer break would be considered a resident of their parents’ home. Another possibility is that the student is recorded as living in a college dormitory during the school year.</w:t>
      </w:r>
      <w:r w:rsidR="00470855">
        <w:rPr>
          <w:rFonts w:ascii="Times New Roman" w:hAnsi="Times New Roman" w:cs="Times New Roman"/>
          <w:sz w:val="20"/>
          <w:szCs w:val="20"/>
        </w:rPr>
        <w:t xml:space="preserve"> In the latter case,</w:t>
      </w:r>
      <w:r w:rsidR="003F7DC1" w:rsidRPr="003F7DC1">
        <w:rPr>
          <w:rFonts w:ascii="Times New Roman" w:hAnsi="Times New Roman" w:cs="Times New Roman"/>
          <w:sz w:val="20"/>
          <w:szCs w:val="20"/>
        </w:rPr>
        <w:t xml:space="preserve"> </w:t>
      </w:r>
      <w:r w:rsidR="00906EB4">
        <w:rPr>
          <w:rFonts w:ascii="Times New Roman" w:hAnsi="Times New Roman" w:cs="Times New Roman"/>
          <w:sz w:val="20"/>
          <w:szCs w:val="20"/>
        </w:rPr>
        <w:t>it is likely</w:t>
      </w:r>
      <w:r w:rsidR="003F7DC1" w:rsidRPr="003F7DC1">
        <w:rPr>
          <w:rFonts w:ascii="Times New Roman" w:hAnsi="Times New Roman" w:cs="Times New Roman"/>
          <w:sz w:val="20"/>
          <w:szCs w:val="20"/>
        </w:rPr>
        <w:t xml:space="preserve"> </w:t>
      </w:r>
      <w:r w:rsidR="003F7DC1">
        <w:rPr>
          <w:rFonts w:ascii="Times New Roman" w:hAnsi="Times New Roman" w:cs="Times New Roman"/>
          <w:sz w:val="20"/>
          <w:szCs w:val="20"/>
        </w:rPr>
        <w:t xml:space="preserve">that </w:t>
      </w:r>
      <w:r w:rsidR="003F7DC1" w:rsidRPr="003F7DC1">
        <w:rPr>
          <w:rFonts w:ascii="Times New Roman" w:hAnsi="Times New Roman" w:cs="Times New Roman"/>
          <w:sz w:val="20"/>
          <w:szCs w:val="20"/>
        </w:rPr>
        <w:t xml:space="preserve">the student would be </w:t>
      </w:r>
      <w:r w:rsidR="00470855">
        <w:rPr>
          <w:rFonts w:ascii="Times New Roman" w:hAnsi="Times New Roman" w:cs="Times New Roman"/>
          <w:sz w:val="20"/>
          <w:szCs w:val="20"/>
        </w:rPr>
        <w:t xml:space="preserve">reported as </w:t>
      </w:r>
      <w:r w:rsidR="003F7DC1" w:rsidRPr="003F7DC1">
        <w:rPr>
          <w:rFonts w:ascii="Times New Roman" w:hAnsi="Times New Roman" w:cs="Times New Roman"/>
          <w:sz w:val="20"/>
          <w:szCs w:val="20"/>
        </w:rPr>
        <w:t>a mover if they lived in different student housing or their parents' house 1 year prior. </w:t>
      </w:r>
    </w:p>
    <w:p w:rsidR="003F7DC1" w:rsidRPr="00FE5415" w:rsidRDefault="003F7DC1" w:rsidP="003F7DC1">
      <w:pPr>
        <w:spacing w:line="240" w:lineRule="auto"/>
        <w:contextualSpacing/>
        <w:rPr>
          <w:rFonts w:ascii="Times New Roman" w:hAnsi="Times New Roman" w:cs="Times New Roman"/>
          <w:sz w:val="20"/>
          <w:szCs w:val="20"/>
        </w:rPr>
      </w:pPr>
    </w:p>
    <w:p w:rsidR="00677F76" w:rsidRPr="00FE5415" w:rsidRDefault="00677F76"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Sampling Frames</w:t>
      </w:r>
    </w:p>
    <w:p w:rsidR="00A452E7" w:rsidRPr="00FE5415" w:rsidRDefault="00A452E7" w:rsidP="00FC74D8">
      <w:pPr>
        <w:spacing w:line="240" w:lineRule="auto"/>
        <w:contextualSpacing/>
        <w:rPr>
          <w:rFonts w:ascii="Times New Roman" w:hAnsi="Times New Roman" w:cs="Times New Roman"/>
          <w:b/>
          <w:sz w:val="20"/>
          <w:szCs w:val="20"/>
        </w:rPr>
      </w:pPr>
    </w:p>
    <w:p w:rsidR="007C105B" w:rsidRPr="00FE5415" w:rsidRDefault="007E719A"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Until recently, t</w:t>
      </w:r>
      <w:r w:rsidR="00270741" w:rsidRPr="00FE5415">
        <w:rPr>
          <w:rFonts w:ascii="Times New Roman" w:hAnsi="Times New Roman" w:cs="Times New Roman"/>
          <w:sz w:val="20"/>
          <w:szCs w:val="20"/>
        </w:rPr>
        <w:t xml:space="preserve">he </w:t>
      </w:r>
      <w:r w:rsidR="002F053F">
        <w:rPr>
          <w:rFonts w:ascii="Times New Roman" w:hAnsi="Times New Roman" w:cs="Times New Roman"/>
          <w:sz w:val="20"/>
          <w:szCs w:val="20"/>
        </w:rPr>
        <w:t>ASEC and the ACS</w:t>
      </w:r>
      <w:r w:rsidR="002F053F" w:rsidRPr="00FE5415">
        <w:rPr>
          <w:rFonts w:ascii="Times New Roman" w:hAnsi="Times New Roman" w:cs="Times New Roman"/>
          <w:sz w:val="20"/>
          <w:szCs w:val="20"/>
        </w:rPr>
        <w:t xml:space="preserve"> </w:t>
      </w:r>
      <w:r w:rsidR="00270741" w:rsidRPr="00FE5415">
        <w:rPr>
          <w:rFonts w:ascii="Times New Roman" w:hAnsi="Times New Roman" w:cs="Times New Roman"/>
          <w:sz w:val="20"/>
          <w:szCs w:val="20"/>
        </w:rPr>
        <w:t>use</w:t>
      </w:r>
      <w:r w:rsidRPr="00FE5415">
        <w:rPr>
          <w:rFonts w:ascii="Times New Roman" w:hAnsi="Times New Roman" w:cs="Times New Roman"/>
          <w:sz w:val="20"/>
          <w:szCs w:val="20"/>
        </w:rPr>
        <w:t>d</w:t>
      </w:r>
      <w:r w:rsidR="00270741" w:rsidRPr="00FE5415">
        <w:rPr>
          <w:rFonts w:ascii="Times New Roman" w:hAnsi="Times New Roman" w:cs="Times New Roman"/>
          <w:sz w:val="20"/>
          <w:szCs w:val="20"/>
        </w:rPr>
        <w:t xml:space="preserve"> different </w:t>
      </w:r>
      <w:r w:rsidR="003F3173" w:rsidRPr="00FE5415">
        <w:rPr>
          <w:rFonts w:ascii="Times New Roman" w:hAnsi="Times New Roman" w:cs="Times New Roman"/>
          <w:sz w:val="20"/>
          <w:szCs w:val="20"/>
        </w:rPr>
        <w:t xml:space="preserve">sources for their </w:t>
      </w:r>
      <w:r w:rsidR="00270741" w:rsidRPr="00FE5415">
        <w:rPr>
          <w:rFonts w:ascii="Times New Roman" w:hAnsi="Times New Roman" w:cs="Times New Roman"/>
          <w:sz w:val="20"/>
          <w:szCs w:val="20"/>
        </w:rPr>
        <w:t>sampling frames</w:t>
      </w:r>
      <w:r w:rsidR="003100C2">
        <w:rPr>
          <w:rFonts w:ascii="Times New Roman" w:hAnsi="Times New Roman" w:cs="Times New Roman"/>
          <w:sz w:val="20"/>
          <w:szCs w:val="20"/>
        </w:rPr>
        <w:t>,</w:t>
      </w:r>
      <w:r w:rsidR="00270741" w:rsidRPr="00FE5415">
        <w:rPr>
          <w:rFonts w:ascii="Times New Roman" w:hAnsi="Times New Roman" w:cs="Times New Roman"/>
          <w:sz w:val="20"/>
          <w:szCs w:val="20"/>
        </w:rPr>
        <w:t xml:space="preserve"> </w:t>
      </w:r>
      <w:r w:rsidR="003100C2">
        <w:rPr>
          <w:rFonts w:ascii="Times New Roman" w:hAnsi="Times New Roman" w:cs="Times New Roman"/>
          <w:sz w:val="20"/>
          <w:szCs w:val="20"/>
        </w:rPr>
        <w:t>which</w:t>
      </w:r>
      <w:r w:rsidR="003100C2" w:rsidRPr="00FE5415">
        <w:rPr>
          <w:rFonts w:ascii="Times New Roman" w:hAnsi="Times New Roman" w:cs="Times New Roman"/>
          <w:sz w:val="20"/>
          <w:szCs w:val="20"/>
        </w:rPr>
        <w:t xml:space="preserve"> </w:t>
      </w:r>
      <w:r w:rsidR="009F4FE5" w:rsidRPr="00FE5415">
        <w:rPr>
          <w:rFonts w:ascii="Times New Roman" w:hAnsi="Times New Roman" w:cs="Times New Roman"/>
          <w:sz w:val="20"/>
          <w:szCs w:val="20"/>
        </w:rPr>
        <w:t xml:space="preserve">varied in how </w:t>
      </w:r>
      <w:r w:rsidR="00692275" w:rsidRPr="00FE5415">
        <w:rPr>
          <w:rFonts w:ascii="Times New Roman" w:hAnsi="Times New Roman" w:cs="Times New Roman"/>
          <w:sz w:val="20"/>
          <w:szCs w:val="20"/>
        </w:rPr>
        <w:t>new addresses were handled</w:t>
      </w:r>
      <w:r w:rsidR="00270741" w:rsidRPr="00FE5415">
        <w:rPr>
          <w:rFonts w:ascii="Times New Roman" w:hAnsi="Times New Roman" w:cs="Times New Roman"/>
          <w:sz w:val="20"/>
          <w:szCs w:val="20"/>
        </w:rPr>
        <w:t xml:space="preserve">. The </w:t>
      </w:r>
      <w:r w:rsidR="00B3734C" w:rsidRPr="00FE5415">
        <w:rPr>
          <w:rFonts w:ascii="Times New Roman" w:hAnsi="Times New Roman" w:cs="Times New Roman"/>
          <w:sz w:val="20"/>
          <w:szCs w:val="20"/>
        </w:rPr>
        <w:t xml:space="preserve">initial </w:t>
      </w:r>
      <w:r w:rsidR="00270741" w:rsidRPr="00FE5415">
        <w:rPr>
          <w:rFonts w:ascii="Times New Roman" w:hAnsi="Times New Roman" w:cs="Times New Roman"/>
          <w:sz w:val="20"/>
          <w:szCs w:val="20"/>
        </w:rPr>
        <w:t xml:space="preserve">ACS </w:t>
      </w:r>
      <w:r w:rsidR="00B3734C" w:rsidRPr="00FE5415">
        <w:rPr>
          <w:rFonts w:ascii="Times New Roman" w:hAnsi="Times New Roman" w:cs="Times New Roman"/>
          <w:sz w:val="20"/>
          <w:szCs w:val="20"/>
        </w:rPr>
        <w:t xml:space="preserve">sample </w:t>
      </w:r>
      <w:r w:rsidR="00692275" w:rsidRPr="00FE5415">
        <w:rPr>
          <w:rFonts w:ascii="Times New Roman" w:hAnsi="Times New Roman" w:cs="Times New Roman"/>
          <w:sz w:val="20"/>
          <w:szCs w:val="20"/>
        </w:rPr>
        <w:t>sourced</w:t>
      </w:r>
      <w:r w:rsidR="00270741" w:rsidRPr="00FE5415">
        <w:rPr>
          <w:rFonts w:ascii="Times New Roman" w:hAnsi="Times New Roman" w:cs="Times New Roman"/>
          <w:sz w:val="20"/>
          <w:szCs w:val="20"/>
        </w:rPr>
        <w:t xml:space="preserve"> the Master Address File (MAF)</w:t>
      </w:r>
      <w:r w:rsidR="00B3734C" w:rsidRPr="00FE5415">
        <w:rPr>
          <w:rFonts w:ascii="Times New Roman" w:hAnsi="Times New Roman" w:cs="Times New Roman"/>
          <w:sz w:val="20"/>
          <w:szCs w:val="20"/>
        </w:rPr>
        <w:t xml:space="preserve"> from the 2000 Census. Since then, the MAF</w:t>
      </w:r>
      <w:r w:rsidR="00B86808" w:rsidRPr="00FE5415">
        <w:rPr>
          <w:rFonts w:ascii="Times New Roman" w:hAnsi="Times New Roman" w:cs="Times New Roman"/>
          <w:sz w:val="20"/>
          <w:szCs w:val="20"/>
        </w:rPr>
        <w:t xml:space="preserve"> </w:t>
      </w:r>
      <w:r w:rsidR="00B3734C" w:rsidRPr="00FE5415">
        <w:rPr>
          <w:rFonts w:ascii="Times New Roman" w:hAnsi="Times New Roman" w:cs="Times New Roman"/>
          <w:sz w:val="20"/>
          <w:szCs w:val="20"/>
        </w:rPr>
        <w:t>has been</w:t>
      </w:r>
      <w:r w:rsidR="00270741" w:rsidRPr="00FE5415">
        <w:rPr>
          <w:rFonts w:ascii="Times New Roman" w:hAnsi="Times New Roman" w:cs="Times New Roman"/>
          <w:sz w:val="20"/>
          <w:szCs w:val="20"/>
        </w:rPr>
        <w:t xml:space="preserve"> continuously updated using change of addresses from the United States </w:t>
      </w:r>
      <w:r w:rsidR="003100C2">
        <w:rPr>
          <w:rFonts w:ascii="Times New Roman" w:hAnsi="Times New Roman" w:cs="Times New Roman"/>
          <w:sz w:val="20"/>
          <w:szCs w:val="20"/>
        </w:rPr>
        <w:t>P</w:t>
      </w:r>
      <w:r w:rsidR="00270741" w:rsidRPr="00FE5415">
        <w:rPr>
          <w:rFonts w:ascii="Times New Roman" w:hAnsi="Times New Roman" w:cs="Times New Roman"/>
          <w:sz w:val="20"/>
          <w:szCs w:val="20"/>
        </w:rPr>
        <w:t xml:space="preserve">ostal </w:t>
      </w:r>
      <w:r w:rsidR="003100C2">
        <w:rPr>
          <w:rFonts w:ascii="Times New Roman" w:hAnsi="Times New Roman" w:cs="Times New Roman"/>
          <w:sz w:val="20"/>
          <w:szCs w:val="20"/>
        </w:rPr>
        <w:t>S</w:t>
      </w:r>
      <w:r w:rsidR="00270741" w:rsidRPr="00FE5415">
        <w:rPr>
          <w:rFonts w:ascii="Times New Roman" w:hAnsi="Times New Roman" w:cs="Times New Roman"/>
          <w:sz w:val="20"/>
          <w:szCs w:val="20"/>
        </w:rPr>
        <w:t xml:space="preserve">ervice Delivery Sequence File, </w:t>
      </w:r>
      <w:r w:rsidR="003100C2">
        <w:rPr>
          <w:rFonts w:ascii="Times New Roman" w:hAnsi="Times New Roman" w:cs="Times New Roman"/>
          <w:sz w:val="20"/>
          <w:szCs w:val="20"/>
        </w:rPr>
        <w:t xml:space="preserve">the </w:t>
      </w:r>
      <w:r w:rsidR="00270741" w:rsidRPr="00FE5415">
        <w:rPr>
          <w:rFonts w:ascii="Times New Roman" w:hAnsi="Times New Roman" w:cs="Times New Roman"/>
          <w:sz w:val="20"/>
          <w:szCs w:val="20"/>
        </w:rPr>
        <w:t xml:space="preserve">ACS non-response follow up, updates from special census operations, </w:t>
      </w:r>
      <w:r w:rsidR="003F3173" w:rsidRPr="00FE5415">
        <w:rPr>
          <w:rFonts w:ascii="Times New Roman" w:hAnsi="Times New Roman" w:cs="Times New Roman"/>
          <w:sz w:val="20"/>
          <w:szCs w:val="20"/>
        </w:rPr>
        <w:t xml:space="preserve">Demographic Area Address Listing Operations, </w:t>
      </w:r>
      <w:r w:rsidR="00270741" w:rsidRPr="00FE5415">
        <w:rPr>
          <w:rFonts w:ascii="Times New Roman" w:hAnsi="Times New Roman" w:cs="Times New Roman"/>
          <w:sz w:val="20"/>
          <w:szCs w:val="20"/>
        </w:rPr>
        <w:t xml:space="preserve">and the Community Address Updating System. </w:t>
      </w:r>
      <w:r w:rsidR="00B66385" w:rsidRPr="00FE5415">
        <w:rPr>
          <w:rFonts w:ascii="Times New Roman" w:hAnsi="Times New Roman" w:cs="Times New Roman"/>
          <w:sz w:val="20"/>
          <w:szCs w:val="20"/>
        </w:rPr>
        <w:t>Updates from the 2010 Census operations were</w:t>
      </w:r>
      <w:r w:rsidR="007C105B" w:rsidRPr="00FE5415">
        <w:rPr>
          <w:rFonts w:ascii="Times New Roman" w:hAnsi="Times New Roman" w:cs="Times New Roman"/>
          <w:sz w:val="20"/>
          <w:szCs w:val="20"/>
        </w:rPr>
        <w:t xml:space="preserve"> included in the ACS sampling frame in the middle of 2010.</w:t>
      </w:r>
      <w:r w:rsidR="007C105B" w:rsidRPr="00FE5415">
        <w:rPr>
          <w:rStyle w:val="FootnoteReference"/>
          <w:rFonts w:ascii="Times New Roman" w:hAnsi="Times New Roman" w:cs="Times New Roman"/>
          <w:sz w:val="20"/>
          <w:szCs w:val="20"/>
        </w:rPr>
        <w:footnoteReference w:id="27"/>
      </w:r>
    </w:p>
    <w:p w:rsidR="00A80801" w:rsidRPr="00FE5415" w:rsidRDefault="00A80801" w:rsidP="00FC74D8">
      <w:pPr>
        <w:spacing w:line="240" w:lineRule="auto"/>
        <w:contextualSpacing/>
        <w:rPr>
          <w:rFonts w:ascii="Times New Roman" w:hAnsi="Times New Roman" w:cs="Times New Roman"/>
          <w:sz w:val="20"/>
          <w:szCs w:val="20"/>
        </w:rPr>
      </w:pPr>
    </w:p>
    <w:p w:rsidR="00990706" w:rsidRPr="00FE5415" w:rsidRDefault="00B17F5F"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Previously,</w:t>
      </w:r>
      <w:r w:rsidR="00564878" w:rsidRPr="00FE5415">
        <w:rPr>
          <w:rFonts w:ascii="Times New Roman" w:hAnsi="Times New Roman" w:cs="Times New Roman"/>
          <w:sz w:val="20"/>
          <w:szCs w:val="20"/>
        </w:rPr>
        <w:t xml:space="preserve"> the CPS</w:t>
      </w:r>
      <w:r w:rsidRPr="00FE5415">
        <w:rPr>
          <w:rFonts w:ascii="Times New Roman" w:hAnsi="Times New Roman" w:cs="Times New Roman"/>
          <w:sz w:val="20"/>
          <w:szCs w:val="20"/>
        </w:rPr>
        <w:t xml:space="preserve"> </w:t>
      </w:r>
      <w:r w:rsidR="00BB4AAB" w:rsidRPr="00FE5415">
        <w:rPr>
          <w:rFonts w:ascii="Times New Roman" w:hAnsi="Times New Roman" w:cs="Times New Roman"/>
          <w:sz w:val="20"/>
          <w:szCs w:val="20"/>
        </w:rPr>
        <w:t>used multiple-frame sampling.</w:t>
      </w:r>
      <w:r w:rsidR="003100C2" w:rsidRPr="00FE5415">
        <w:rPr>
          <w:rStyle w:val="FootnoteReference"/>
          <w:rFonts w:ascii="Times New Roman" w:hAnsi="Times New Roman" w:cs="Times New Roman"/>
          <w:sz w:val="20"/>
          <w:szCs w:val="20"/>
        </w:rPr>
        <w:footnoteReference w:id="28"/>
      </w:r>
      <w:r w:rsidR="00BB4AAB" w:rsidRPr="00FE5415">
        <w:rPr>
          <w:rFonts w:ascii="Times New Roman" w:hAnsi="Times New Roman" w:cs="Times New Roman"/>
          <w:sz w:val="20"/>
          <w:szCs w:val="20"/>
        </w:rPr>
        <w:t xml:space="preserve"> Th</w:t>
      </w:r>
      <w:r w:rsidR="003100C2">
        <w:rPr>
          <w:rFonts w:ascii="Times New Roman" w:hAnsi="Times New Roman" w:cs="Times New Roman"/>
          <w:sz w:val="20"/>
          <w:szCs w:val="20"/>
        </w:rPr>
        <w:t>is</w:t>
      </w:r>
      <w:r w:rsidR="00BB4AAB" w:rsidRPr="00FE5415">
        <w:rPr>
          <w:rFonts w:ascii="Times New Roman" w:hAnsi="Times New Roman" w:cs="Times New Roman"/>
          <w:sz w:val="20"/>
          <w:szCs w:val="20"/>
        </w:rPr>
        <w:t xml:space="preserve"> included a </w:t>
      </w:r>
      <w:r w:rsidR="00BB4AAB" w:rsidRPr="00AC01AC">
        <w:rPr>
          <w:rFonts w:ascii="Times New Roman" w:hAnsi="Times New Roman" w:cs="Times New Roman"/>
          <w:i/>
          <w:sz w:val="20"/>
          <w:szCs w:val="20"/>
        </w:rPr>
        <w:t>unit frame</w:t>
      </w:r>
      <w:r w:rsidR="00BB4AAB" w:rsidRPr="00FE5415">
        <w:rPr>
          <w:rFonts w:ascii="Times New Roman" w:hAnsi="Times New Roman" w:cs="Times New Roman"/>
          <w:sz w:val="20"/>
          <w:szCs w:val="20"/>
        </w:rPr>
        <w:t xml:space="preserve">, which contained addresses from the decennial census;  </w:t>
      </w:r>
      <w:r w:rsidR="00B86808" w:rsidRPr="00FE5415">
        <w:rPr>
          <w:rFonts w:ascii="Times New Roman" w:hAnsi="Times New Roman" w:cs="Times New Roman"/>
          <w:sz w:val="20"/>
          <w:szCs w:val="20"/>
        </w:rPr>
        <w:t xml:space="preserve">an </w:t>
      </w:r>
      <w:r w:rsidR="00BB4AAB" w:rsidRPr="00AC01AC">
        <w:rPr>
          <w:rFonts w:ascii="Times New Roman" w:hAnsi="Times New Roman" w:cs="Times New Roman"/>
          <w:i/>
          <w:sz w:val="20"/>
          <w:szCs w:val="20"/>
        </w:rPr>
        <w:t>area frame</w:t>
      </w:r>
      <w:r w:rsidR="00BB4AAB" w:rsidRPr="00FE5415">
        <w:rPr>
          <w:rFonts w:ascii="Times New Roman" w:hAnsi="Times New Roman" w:cs="Times New Roman"/>
          <w:sz w:val="20"/>
          <w:szCs w:val="20"/>
        </w:rPr>
        <w:t xml:space="preserve">, which contained addresses collected from field operations; a </w:t>
      </w:r>
      <w:r w:rsidR="00BB4AAB" w:rsidRPr="00AC01AC">
        <w:rPr>
          <w:rFonts w:ascii="Times New Roman" w:hAnsi="Times New Roman" w:cs="Times New Roman"/>
          <w:i/>
          <w:sz w:val="20"/>
          <w:szCs w:val="20"/>
        </w:rPr>
        <w:t>permit frame</w:t>
      </w:r>
      <w:r w:rsidR="00BB4AAB" w:rsidRPr="00FE5415">
        <w:rPr>
          <w:rFonts w:ascii="Times New Roman" w:hAnsi="Times New Roman" w:cs="Times New Roman"/>
          <w:sz w:val="20"/>
          <w:szCs w:val="20"/>
        </w:rPr>
        <w:t xml:space="preserve">, which contained new construction </w:t>
      </w:r>
      <w:r w:rsidR="00FC1D3A" w:rsidRPr="00FE5415">
        <w:rPr>
          <w:rFonts w:ascii="Times New Roman" w:hAnsi="Times New Roman" w:cs="Times New Roman"/>
          <w:sz w:val="20"/>
          <w:szCs w:val="20"/>
        </w:rPr>
        <w:t xml:space="preserve">addresses recorded in building permit offices; and a </w:t>
      </w:r>
      <w:r w:rsidR="00FC1D3A" w:rsidRPr="00F02FBD">
        <w:rPr>
          <w:rFonts w:ascii="Times New Roman" w:hAnsi="Times New Roman" w:cs="Times New Roman"/>
          <w:i/>
          <w:sz w:val="20"/>
          <w:szCs w:val="20"/>
        </w:rPr>
        <w:t>group quarters frame</w:t>
      </w:r>
      <w:r w:rsidR="00FC1D3A" w:rsidRPr="00FE5415">
        <w:rPr>
          <w:rFonts w:ascii="Times New Roman" w:hAnsi="Times New Roman" w:cs="Times New Roman"/>
          <w:sz w:val="20"/>
          <w:szCs w:val="20"/>
        </w:rPr>
        <w:t>.</w:t>
      </w:r>
      <w:r w:rsidR="009F4FE5" w:rsidRPr="00FE5415">
        <w:rPr>
          <w:rFonts w:ascii="Times New Roman" w:hAnsi="Times New Roman" w:cs="Times New Roman"/>
          <w:sz w:val="20"/>
          <w:szCs w:val="20"/>
        </w:rPr>
        <w:t xml:space="preserve"> New address</w:t>
      </w:r>
      <w:r w:rsidR="003F3173" w:rsidRPr="00FE5415">
        <w:rPr>
          <w:rFonts w:ascii="Times New Roman" w:hAnsi="Times New Roman" w:cs="Times New Roman"/>
          <w:sz w:val="20"/>
          <w:szCs w:val="20"/>
        </w:rPr>
        <w:t>es</w:t>
      </w:r>
      <w:r w:rsidR="009F4FE5" w:rsidRPr="00FE5415">
        <w:rPr>
          <w:rFonts w:ascii="Times New Roman" w:hAnsi="Times New Roman" w:cs="Times New Roman"/>
          <w:sz w:val="20"/>
          <w:szCs w:val="20"/>
        </w:rPr>
        <w:t xml:space="preserve"> were added through the building permit frame and the unit frame for areas without building permit coverage. </w:t>
      </w:r>
      <w:r w:rsidR="00B3734C" w:rsidRPr="00FE5415">
        <w:rPr>
          <w:rFonts w:ascii="Times New Roman" w:hAnsi="Times New Roman" w:cs="Times New Roman"/>
          <w:sz w:val="20"/>
          <w:szCs w:val="20"/>
        </w:rPr>
        <w:t>The sampling frame based on Census</w:t>
      </w:r>
      <w:r w:rsidR="00900EC9" w:rsidRPr="00FE5415">
        <w:rPr>
          <w:rFonts w:ascii="Times New Roman" w:hAnsi="Times New Roman" w:cs="Times New Roman"/>
          <w:sz w:val="20"/>
          <w:szCs w:val="20"/>
        </w:rPr>
        <w:t xml:space="preserve"> </w:t>
      </w:r>
      <w:r w:rsidR="003100C2" w:rsidRPr="00FE5415">
        <w:rPr>
          <w:rFonts w:ascii="Times New Roman" w:hAnsi="Times New Roman" w:cs="Times New Roman"/>
          <w:sz w:val="20"/>
          <w:szCs w:val="20"/>
        </w:rPr>
        <w:t xml:space="preserve">2000 </w:t>
      </w:r>
      <w:r w:rsidR="00900EC9" w:rsidRPr="00FE5415">
        <w:rPr>
          <w:rFonts w:ascii="Times New Roman" w:hAnsi="Times New Roman" w:cs="Times New Roman"/>
          <w:sz w:val="20"/>
          <w:szCs w:val="20"/>
        </w:rPr>
        <w:t>results</w:t>
      </w:r>
      <w:r w:rsidR="00B3734C" w:rsidRPr="00FE5415">
        <w:rPr>
          <w:rFonts w:ascii="Times New Roman" w:hAnsi="Times New Roman" w:cs="Times New Roman"/>
          <w:sz w:val="20"/>
          <w:szCs w:val="20"/>
        </w:rPr>
        <w:t xml:space="preserve"> </w:t>
      </w:r>
      <w:r w:rsidR="003100C2">
        <w:rPr>
          <w:rFonts w:ascii="Times New Roman" w:hAnsi="Times New Roman" w:cs="Times New Roman"/>
          <w:sz w:val="20"/>
          <w:szCs w:val="20"/>
        </w:rPr>
        <w:t>was</w:t>
      </w:r>
      <w:r w:rsidR="003100C2" w:rsidRPr="00FE5415">
        <w:rPr>
          <w:rFonts w:ascii="Times New Roman" w:hAnsi="Times New Roman" w:cs="Times New Roman"/>
          <w:sz w:val="20"/>
          <w:szCs w:val="20"/>
        </w:rPr>
        <w:t xml:space="preserve"> </w:t>
      </w:r>
      <w:r w:rsidR="00B3734C" w:rsidRPr="00FE5415">
        <w:rPr>
          <w:rFonts w:ascii="Times New Roman" w:hAnsi="Times New Roman" w:cs="Times New Roman"/>
          <w:sz w:val="20"/>
          <w:szCs w:val="20"/>
        </w:rPr>
        <w:t xml:space="preserve">implemented in 2004 </w:t>
      </w:r>
      <w:r w:rsidR="003100C2">
        <w:rPr>
          <w:rFonts w:ascii="Times New Roman" w:hAnsi="Times New Roman" w:cs="Times New Roman"/>
          <w:sz w:val="20"/>
          <w:szCs w:val="20"/>
        </w:rPr>
        <w:t>and</w:t>
      </w:r>
      <w:r w:rsidR="003100C2" w:rsidRPr="00FE5415">
        <w:rPr>
          <w:rFonts w:ascii="Times New Roman" w:hAnsi="Times New Roman" w:cs="Times New Roman"/>
          <w:sz w:val="20"/>
          <w:szCs w:val="20"/>
        </w:rPr>
        <w:t xml:space="preserve"> </w:t>
      </w:r>
      <w:r w:rsidR="00B3734C" w:rsidRPr="00FE5415">
        <w:rPr>
          <w:rFonts w:ascii="Times New Roman" w:hAnsi="Times New Roman" w:cs="Times New Roman"/>
          <w:sz w:val="20"/>
          <w:szCs w:val="20"/>
        </w:rPr>
        <w:t>2005</w:t>
      </w:r>
      <w:r w:rsidR="00990706" w:rsidRPr="00FE5415">
        <w:rPr>
          <w:rFonts w:ascii="Times New Roman" w:hAnsi="Times New Roman" w:cs="Times New Roman"/>
          <w:sz w:val="20"/>
          <w:szCs w:val="20"/>
        </w:rPr>
        <w:t>, several years after the ACS update.</w:t>
      </w:r>
      <w:r w:rsidR="00900EC9" w:rsidRPr="00FE5415">
        <w:rPr>
          <w:rFonts w:ascii="Times New Roman" w:hAnsi="Times New Roman" w:cs="Times New Roman"/>
          <w:sz w:val="20"/>
          <w:szCs w:val="20"/>
        </w:rPr>
        <w:t xml:space="preserve"> Samples for an entire decade were drawn when the frame was updated. </w:t>
      </w:r>
    </w:p>
    <w:p w:rsidR="00A80801" w:rsidRPr="00FE5415" w:rsidRDefault="00A80801" w:rsidP="00FC74D8">
      <w:pPr>
        <w:spacing w:line="240" w:lineRule="auto"/>
        <w:contextualSpacing/>
        <w:rPr>
          <w:rFonts w:ascii="Times New Roman" w:hAnsi="Times New Roman" w:cs="Times New Roman"/>
          <w:sz w:val="20"/>
          <w:szCs w:val="20"/>
        </w:rPr>
      </w:pPr>
    </w:p>
    <w:p w:rsidR="00307EFF" w:rsidRPr="00FE5415" w:rsidRDefault="00990706" w:rsidP="003637B2">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 most recent </w:t>
      </w:r>
      <w:r w:rsidR="007C105B" w:rsidRPr="00FE5415">
        <w:rPr>
          <w:rFonts w:ascii="Times New Roman" w:hAnsi="Times New Roman" w:cs="Times New Roman"/>
          <w:sz w:val="20"/>
          <w:szCs w:val="20"/>
        </w:rPr>
        <w:t>CPS</w:t>
      </w:r>
      <w:r w:rsidRPr="00FE5415">
        <w:rPr>
          <w:rFonts w:ascii="Times New Roman" w:hAnsi="Times New Roman" w:cs="Times New Roman"/>
          <w:sz w:val="20"/>
          <w:szCs w:val="20"/>
        </w:rPr>
        <w:t xml:space="preserve"> </w:t>
      </w:r>
      <w:r w:rsidR="001D024B" w:rsidRPr="00FE5415">
        <w:rPr>
          <w:rFonts w:ascii="Times New Roman" w:hAnsi="Times New Roman" w:cs="Times New Roman"/>
          <w:sz w:val="20"/>
          <w:szCs w:val="20"/>
        </w:rPr>
        <w:t>update</w:t>
      </w:r>
      <w:r w:rsidRPr="00FE5415">
        <w:rPr>
          <w:rFonts w:ascii="Times New Roman" w:hAnsi="Times New Roman" w:cs="Times New Roman"/>
          <w:sz w:val="20"/>
          <w:szCs w:val="20"/>
        </w:rPr>
        <w:t xml:space="preserve"> </w:t>
      </w:r>
      <w:r w:rsidR="00900EC9" w:rsidRPr="00FE5415">
        <w:rPr>
          <w:rFonts w:ascii="Times New Roman" w:hAnsi="Times New Roman" w:cs="Times New Roman"/>
          <w:sz w:val="20"/>
          <w:szCs w:val="20"/>
        </w:rPr>
        <w:t xml:space="preserve">followed a similar timeline to earlier </w:t>
      </w:r>
      <w:r w:rsidR="00564878" w:rsidRPr="00FE5415">
        <w:rPr>
          <w:rFonts w:ascii="Times New Roman" w:hAnsi="Times New Roman" w:cs="Times New Roman"/>
          <w:sz w:val="20"/>
          <w:szCs w:val="20"/>
        </w:rPr>
        <w:t xml:space="preserve">CPS </w:t>
      </w:r>
      <w:r w:rsidR="00900EC9" w:rsidRPr="00FE5415">
        <w:rPr>
          <w:rFonts w:ascii="Times New Roman" w:hAnsi="Times New Roman" w:cs="Times New Roman"/>
          <w:sz w:val="20"/>
          <w:szCs w:val="20"/>
        </w:rPr>
        <w:t>updates. R</w:t>
      </w:r>
      <w:r w:rsidR="007A5329" w:rsidRPr="00FE5415">
        <w:rPr>
          <w:rFonts w:ascii="Times New Roman" w:hAnsi="Times New Roman" w:cs="Times New Roman"/>
          <w:sz w:val="20"/>
          <w:szCs w:val="20"/>
        </w:rPr>
        <w:t>esults from the 2010 Census</w:t>
      </w:r>
      <w:r w:rsidR="007C105B" w:rsidRPr="00FE5415">
        <w:rPr>
          <w:rFonts w:ascii="Times New Roman" w:hAnsi="Times New Roman" w:cs="Times New Roman"/>
          <w:sz w:val="20"/>
          <w:szCs w:val="20"/>
        </w:rPr>
        <w:t xml:space="preserve"> </w:t>
      </w:r>
      <w:r w:rsidR="00900EC9" w:rsidRPr="00FE5415">
        <w:rPr>
          <w:rFonts w:ascii="Times New Roman" w:hAnsi="Times New Roman" w:cs="Times New Roman"/>
          <w:sz w:val="20"/>
          <w:szCs w:val="20"/>
        </w:rPr>
        <w:t xml:space="preserve">were integrated into the sample frame </w:t>
      </w:r>
      <w:r w:rsidR="007C105B" w:rsidRPr="00FE5415">
        <w:rPr>
          <w:rFonts w:ascii="Times New Roman" w:hAnsi="Times New Roman" w:cs="Times New Roman"/>
          <w:sz w:val="20"/>
          <w:szCs w:val="20"/>
        </w:rPr>
        <w:t>be</w:t>
      </w:r>
      <w:r w:rsidR="00B15990" w:rsidRPr="00FE5415">
        <w:rPr>
          <w:rFonts w:ascii="Times New Roman" w:hAnsi="Times New Roman" w:cs="Times New Roman"/>
          <w:sz w:val="20"/>
          <w:szCs w:val="20"/>
        </w:rPr>
        <w:t>tween</w:t>
      </w:r>
      <w:r w:rsidR="007C105B" w:rsidRPr="00FE5415">
        <w:rPr>
          <w:rFonts w:ascii="Times New Roman" w:hAnsi="Times New Roman" w:cs="Times New Roman"/>
          <w:sz w:val="20"/>
          <w:szCs w:val="20"/>
        </w:rPr>
        <w:t xml:space="preserve"> April 2014 and </w:t>
      </w:r>
      <w:r w:rsidR="00B15990" w:rsidRPr="00FE5415">
        <w:rPr>
          <w:rFonts w:ascii="Times New Roman" w:hAnsi="Times New Roman" w:cs="Times New Roman"/>
          <w:sz w:val="20"/>
          <w:szCs w:val="20"/>
        </w:rPr>
        <w:t>July 2015.</w:t>
      </w:r>
      <w:r w:rsidR="00284770" w:rsidRPr="00FE5415">
        <w:rPr>
          <w:rFonts w:ascii="Times New Roman" w:hAnsi="Times New Roman" w:cs="Times New Roman"/>
          <w:sz w:val="20"/>
          <w:szCs w:val="20"/>
        </w:rPr>
        <w:t xml:space="preserve"> Sponsors of the CPS decided </w:t>
      </w:r>
      <w:r w:rsidR="00F80666" w:rsidRPr="00FE5415">
        <w:rPr>
          <w:rFonts w:ascii="Times New Roman" w:hAnsi="Times New Roman" w:cs="Times New Roman"/>
          <w:sz w:val="20"/>
          <w:szCs w:val="20"/>
        </w:rPr>
        <w:t xml:space="preserve">to abandon the old multi-frame approach of updating the </w:t>
      </w:r>
      <w:r w:rsidR="00284770" w:rsidRPr="00FE5415">
        <w:rPr>
          <w:rFonts w:ascii="Times New Roman" w:hAnsi="Times New Roman" w:cs="Times New Roman"/>
          <w:sz w:val="20"/>
          <w:szCs w:val="20"/>
        </w:rPr>
        <w:t xml:space="preserve">sampling </w:t>
      </w:r>
      <w:r w:rsidR="00F80666" w:rsidRPr="00FE5415">
        <w:rPr>
          <w:rFonts w:ascii="Times New Roman" w:hAnsi="Times New Roman" w:cs="Times New Roman"/>
          <w:sz w:val="20"/>
          <w:szCs w:val="20"/>
        </w:rPr>
        <w:t>frame</w:t>
      </w:r>
      <w:r w:rsidR="00284770" w:rsidRPr="00FE5415">
        <w:rPr>
          <w:rFonts w:ascii="Times New Roman" w:hAnsi="Times New Roman" w:cs="Times New Roman"/>
          <w:sz w:val="20"/>
          <w:szCs w:val="20"/>
        </w:rPr>
        <w:t xml:space="preserve">. </w:t>
      </w:r>
      <w:r w:rsidR="00CE6D0E" w:rsidRPr="00FE5415">
        <w:rPr>
          <w:rFonts w:ascii="Times New Roman" w:hAnsi="Times New Roman" w:cs="Times New Roman"/>
          <w:sz w:val="20"/>
          <w:szCs w:val="20"/>
        </w:rPr>
        <w:t>As of July 2015</w:t>
      </w:r>
      <w:r w:rsidR="00284770" w:rsidRPr="00FE5415">
        <w:rPr>
          <w:rFonts w:ascii="Times New Roman" w:hAnsi="Times New Roman" w:cs="Times New Roman"/>
          <w:sz w:val="20"/>
          <w:szCs w:val="20"/>
        </w:rPr>
        <w:t xml:space="preserve">, the MAF will be the source for </w:t>
      </w:r>
      <w:r w:rsidR="0016085D" w:rsidRPr="00FE5415">
        <w:rPr>
          <w:rFonts w:ascii="Times New Roman" w:hAnsi="Times New Roman" w:cs="Times New Roman"/>
          <w:sz w:val="20"/>
          <w:szCs w:val="20"/>
        </w:rPr>
        <w:t xml:space="preserve">all </w:t>
      </w:r>
      <w:r w:rsidR="00284770" w:rsidRPr="00FE5415">
        <w:rPr>
          <w:rFonts w:ascii="Times New Roman" w:hAnsi="Times New Roman" w:cs="Times New Roman"/>
          <w:sz w:val="20"/>
          <w:szCs w:val="20"/>
        </w:rPr>
        <w:t>future updates</w:t>
      </w:r>
      <w:r w:rsidR="00F80666" w:rsidRPr="00FE5415">
        <w:rPr>
          <w:rFonts w:ascii="Times New Roman" w:hAnsi="Times New Roman" w:cs="Times New Roman"/>
          <w:sz w:val="20"/>
          <w:szCs w:val="20"/>
        </w:rPr>
        <w:t>.</w:t>
      </w:r>
      <w:r w:rsidR="00F80666" w:rsidRPr="00FE5415">
        <w:rPr>
          <w:rStyle w:val="FootnoteReference"/>
          <w:rFonts w:ascii="Times New Roman" w:hAnsi="Times New Roman" w:cs="Times New Roman"/>
          <w:sz w:val="20"/>
          <w:szCs w:val="20"/>
        </w:rPr>
        <w:footnoteReference w:id="29"/>
      </w:r>
      <w:r w:rsidR="00284770" w:rsidRPr="00FE5415">
        <w:rPr>
          <w:rFonts w:ascii="Times New Roman" w:hAnsi="Times New Roman" w:cs="Times New Roman"/>
          <w:sz w:val="20"/>
          <w:szCs w:val="20"/>
        </w:rPr>
        <w:t xml:space="preserve"> One other important change to note </w:t>
      </w:r>
      <w:r w:rsidR="00C142A2">
        <w:rPr>
          <w:rFonts w:ascii="Times New Roman" w:hAnsi="Times New Roman" w:cs="Times New Roman"/>
          <w:sz w:val="20"/>
          <w:szCs w:val="20"/>
        </w:rPr>
        <w:t xml:space="preserve">is </w:t>
      </w:r>
      <w:r w:rsidR="003100C2">
        <w:rPr>
          <w:rFonts w:ascii="Times New Roman" w:hAnsi="Times New Roman" w:cs="Times New Roman"/>
          <w:sz w:val="20"/>
          <w:szCs w:val="20"/>
        </w:rPr>
        <w:t>that</w:t>
      </w:r>
      <w:r w:rsidR="00284770" w:rsidRPr="00FE5415">
        <w:rPr>
          <w:rFonts w:ascii="Times New Roman" w:hAnsi="Times New Roman" w:cs="Times New Roman"/>
          <w:sz w:val="20"/>
          <w:szCs w:val="20"/>
        </w:rPr>
        <w:t xml:space="preserve"> sample</w:t>
      </w:r>
      <w:r w:rsidR="003100C2">
        <w:rPr>
          <w:rFonts w:ascii="Times New Roman" w:hAnsi="Times New Roman" w:cs="Times New Roman"/>
          <w:sz w:val="20"/>
          <w:szCs w:val="20"/>
        </w:rPr>
        <w:t>s are now drawn on a yearly basis</w:t>
      </w:r>
      <w:r w:rsidR="00F80666" w:rsidRPr="00FE5415">
        <w:rPr>
          <w:rFonts w:ascii="Times New Roman" w:hAnsi="Times New Roman" w:cs="Times New Roman"/>
          <w:sz w:val="20"/>
          <w:szCs w:val="20"/>
        </w:rPr>
        <w:t xml:space="preserve"> as opposed to the old method of once per </w:t>
      </w:r>
      <w:r w:rsidR="00CB2B3E" w:rsidRPr="00FE5415">
        <w:rPr>
          <w:rFonts w:ascii="Times New Roman" w:hAnsi="Times New Roman" w:cs="Times New Roman"/>
          <w:sz w:val="20"/>
          <w:szCs w:val="20"/>
        </w:rPr>
        <w:t>decade.</w:t>
      </w:r>
      <w:r w:rsidR="00CB2B3E">
        <w:rPr>
          <w:rFonts w:ascii="Times New Roman" w:hAnsi="Times New Roman" w:cs="Times New Roman"/>
          <w:sz w:val="20"/>
          <w:szCs w:val="20"/>
        </w:rPr>
        <w:t xml:space="preserve"> These changes to CPS sample frame methodology reduce the differences between the two surveys. The impact will be more apparent once the 2015 ACS data are available.   </w:t>
      </w:r>
      <w:r w:rsidR="009D4A93">
        <w:rPr>
          <w:rFonts w:ascii="Times New Roman" w:hAnsi="Times New Roman" w:cs="Times New Roman"/>
          <w:sz w:val="20"/>
          <w:szCs w:val="20"/>
        </w:rPr>
        <w:t xml:space="preserve">  </w:t>
      </w:r>
    </w:p>
    <w:p w:rsidR="00656B28" w:rsidRDefault="00656B28" w:rsidP="00FC74D8">
      <w:pPr>
        <w:spacing w:line="240" w:lineRule="auto"/>
        <w:rPr>
          <w:rFonts w:ascii="Times New Roman" w:hAnsi="Times New Roman" w:cs="Times New Roman"/>
          <w:b/>
          <w:sz w:val="20"/>
          <w:szCs w:val="20"/>
        </w:rPr>
      </w:pPr>
    </w:p>
    <w:p w:rsidR="001A3429" w:rsidRPr="00FE5415" w:rsidRDefault="00307EFF" w:rsidP="00FC74D8">
      <w:pPr>
        <w:spacing w:line="240" w:lineRule="auto"/>
        <w:rPr>
          <w:rFonts w:ascii="Times New Roman" w:hAnsi="Times New Roman" w:cs="Times New Roman"/>
          <w:b/>
          <w:sz w:val="20"/>
          <w:szCs w:val="20"/>
        </w:rPr>
      </w:pPr>
      <w:r w:rsidRPr="00FE5415">
        <w:rPr>
          <w:rFonts w:ascii="Times New Roman" w:hAnsi="Times New Roman" w:cs="Times New Roman"/>
          <w:b/>
          <w:sz w:val="20"/>
          <w:szCs w:val="20"/>
        </w:rPr>
        <w:t>Sample Design and County Coverage</w:t>
      </w:r>
    </w:p>
    <w:p w:rsidR="00307EFF" w:rsidRPr="00FE5415" w:rsidRDefault="00307EFF"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The CPS consists of a state-based sample design where there are independent samples for each state and the District of Columbia.</w:t>
      </w:r>
      <w:r w:rsidRPr="00FE5415">
        <w:rPr>
          <w:rStyle w:val="FootnoteReference"/>
          <w:rFonts w:ascii="Times New Roman" w:hAnsi="Times New Roman" w:cs="Times New Roman"/>
          <w:sz w:val="20"/>
          <w:szCs w:val="20"/>
        </w:rPr>
        <w:footnoteReference w:id="30"/>
      </w:r>
      <w:r w:rsidRPr="00FE5415">
        <w:rPr>
          <w:rFonts w:ascii="Times New Roman" w:hAnsi="Times New Roman" w:cs="Times New Roman"/>
          <w:sz w:val="20"/>
          <w:szCs w:val="20"/>
        </w:rPr>
        <w:t xml:space="preserve"> The states are divided into primary samplin</w:t>
      </w:r>
      <w:r w:rsidR="00C52FBC" w:rsidRPr="00FE5415">
        <w:rPr>
          <w:rFonts w:ascii="Times New Roman" w:hAnsi="Times New Roman" w:cs="Times New Roman"/>
          <w:sz w:val="20"/>
          <w:szCs w:val="20"/>
        </w:rPr>
        <w:t xml:space="preserve">g units (PSU), which is </w:t>
      </w:r>
      <w:r w:rsidRPr="00FE5415">
        <w:rPr>
          <w:rFonts w:ascii="Times New Roman" w:hAnsi="Times New Roman" w:cs="Times New Roman"/>
          <w:sz w:val="20"/>
          <w:szCs w:val="20"/>
        </w:rPr>
        <w:t>a metropolitan area, large county, or group of smaller counties.  The PSU</w:t>
      </w:r>
      <w:r w:rsidR="00B329A0" w:rsidRPr="00FE5415">
        <w:rPr>
          <w:rFonts w:ascii="Times New Roman" w:hAnsi="Times New Roman" w:cs="Times New Roman"/>
          <w:sz w:val="20"/>
          <w:szCs w:val="20"/>
        </w:rPr>
        <w:t>s</w:t>
      </w:r>
      <w:r w:rsidRPr="00FE5415">
        <w:rPr>
          <w:rFonts w:ascii="Times New Roman" w:hAnsi="Times New Roman" w:cs="Times New Roman"/>
          <w:sz w:val="20"/>
          <w:szCs w:val="20"/>
        </w:rPr>
        <w:t xml:space="preserve"> are grouped into strata so that they are </w:t>
      </w:r>
      <w:r w:rsidR="00B329A0" w:rsidRPr="00FE5415">
        <w:rPr>
          <w:rFonts w:ascii="Times New Roman" w:hAnsi="Times New Roman" w:cs="Times New Roman"/>
          <w:sz w:val="20"/>
          <w:szCs w:val="20"/>
        </w:rPr>
        <w:t xml:space="preserve">as </w:t>
      </w:r>
      <w:r w:rsidRPr="00FE5415">
        <w:rPr>
          <w:rFonts w:ascii="Times New Roman" w:hAnsi="Times New Roman" w:cs="Times New Roman"/>
          <w:sz w:val="20"/>
          <w:szCs w:val="20"/>
        </w:rPr>
        <w:t xml:space="preserve">homogeneous as possible when it comes to </w:t>
      </w:r>
      <w:r w:rsidR="0096470B" w:rsidRPr="00FE5415">
        <w:rPr>
          <w:rFonts w:ascii="Times New Roman" w:hAnsi="Times New Roman" w:cs="Times New Roman"/>
          <w:sz w:val="20"/>
          <w:szCs w:val="20"/>
        </w:rPr>
        <w:t xml:space="preserve">the composition of </w:t>
      </w:r>
      <w:r w:rsidRPr="00FE5415">
        <w:rPr>
          <w:rFonts w:ascii="Times New Roman" w:hAnsi="Times New Roman" w:cs="Times New Roman"/>
          <w:sz w:val="20"/>
          <w:szCs w:val="20"/>
        </w:rPr>
        <w:t>their labor force.  A PSU is sampled from each stratum. Housing units are sampled within the selected PSUs.</w:t>
      </w:r>
      <w:r w:rsidRPr="00FE5415">
        <w:rPr>
          <w:rStyle w:val="FootnoteReference"/>
          <w:rFonts w:ascii="Times New Roman" w:hAnsi="Times New Roman" w:cs="Times New Roman"/>
          <w:sz w:val="20"/>
          <w:szCs w:val="20"/>
        </w:rPr>
        <w:footnoteReference w:id="31"/>
      </w:r>
      <w:r w:rsidRPr="00FE5415">
        <w:rPr>
          <w:rFonts w:ascii="Times New Roman" w:hAnsi="Times New Roman" w:cs="Times New Roman"/>
          <w:sz w:val="20"/>
          <w:szCs w:val="20"/>
        </w:rPr>
        <w:t xml:space="preserve"> For the 2013 ASEC, households were sampled in 1</w:t>
      </w:r>
      <w:r w:rsidR="00B329A0" w:rsidRPr="00FE5415">
        <w:rPr>
          <w:rFonts w:ascii="Times New Roman" w:hAnsi="Times New Roman" w:cs="Times New Roman"/>
          <w:sz w:val="20"/>
          <w:szCs w:val="20"/>
        </w:rPr>
        <w:t>,</w:t>
      </w:r>
      <w:r w:rsidRPr="00FE5415">
        <w:rPr>
          <w:rFonts w:ascii="Times New Roman" w:hAnsi="Times New Roman" w:cs="Times New Roman"/>
          <w:sz w:val="20"/>
          <w:szCs w:val="20"/>
        </w:rPr>
        <w:t>347 out of 3</w:t>
      </w:r>
      <w:r w:rsidR="00B329A0" w:rsidRPr="00FE5415">
        <w:rPr>
          <w:rFonts w:ascii="Times New Roman" w:hAnsi="Times New Roman" w:cs="Times New Roman"/>
          <w:sz w:val="20"/>
          <w:szCs w:val="20"/>
        </w:rPr>
        <w:t>,</w:t>
      </w:r>
      <w:r w:rsidRPr="00FE5415">
        <w:rPr>
          <w:rFonts w:ascii="Times New Roman" w:hAnsi="Times New Roman" w:cs="Times New Roman"/>
          <w:sz w:val="20"/>
          <w:szCs w:val="20"/>
        </w:rPr>
        <w:t xml:space="preserve">144 counties or county equivalents in the United States. In many cases, the weights applied to these </w:t>
      </w:r>
      <w:r w:rsidR="00376BB1" w:rsidRPr="00FE5415">
        <w:rPr>
          <w:rFonts w:ascii="Times New Roman" w:hAnsi="Times New Roman" w:cs="Times New Roman"/>
          <w:sz w:val="20"/>
          <w:szCs w:val="20"/>
        </w:rPr>
        <w:t xml:space="preserve">selected </w:t>
      </w:r>
      <w:r w:rsidRPr="00FE5415">
        <w:rPr>
          <w:rFonts w:ascii="Times New Roman" w:hAnsi="Times New Roman" w:cs="Times New Roman"/>
          <w:sz w:val="20"/>
          <w:szCs w:val="20"/>
        </w:rPr>
        <w:t>household</w:t>
      </w:r>
      <w:r w:rsidR="00376BB1" w:rsidRPr="00FE5415">
        <w:rPr>
          <w:rFonts w:ascii="Times New Roman" w:hAnsi="Times New Roman" w:cs="Times New Roman"/>
          <w:sz w:val="20"/>
          <w:szCs w:val="20"/>
        </w:rPr>
        <w:t>s</w:t>
      </w:r>
      <w:r w:rsidRPr="00FE5415">
        <w:rPr>
          <w:rFonts w:ascii="Times New Roman" w:hAnsi="Times New Roman" w:cs="Times New Roman"/>
          <w:sz w:val="20"/>
          <w:szCs w:val="20"/>
        </w:rPr>
        <w:t xml:space="preserve"> not only represented others in their county, but also </w:t>
      </w:r>
      <w:r w:rsidR="00376BB1" w:rsidRPr="00FE5415">
        <w:rPr>
          <w:rFonts w:ascii="Times New Roman" w:hAnsi="Times New Roman" w:cs="Times New Roman"/>
          <w:sz w:val="20"/>
          <w:szCs w:val="20"/>
        </w:rPr>
        <w:t>households</w:t>
      </w:r>
      <w:r w:rsidRPr="00FE5415">
        <w:rPr>
          <w:rFonts w:ascii="Times New Roman" w:hAnsi="Times New Roman" w:cs="Times New Roman"/>
          <w:sz w:val="20"/>
          <w:szCs w:val="20"/>
        </w:rPr>
        <w:t xml:space="preserve"> in counties not sampled in their state.</w:t>
      </w:r>
    </w:p>
    <w:p w:rsidR="00307EFF" w:rsidRPr="00FE5415" w:rsidRDefault="00307EFF"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The ACS selects an independent housing unit address sample for each county or county equivalent in the U</w:t>
      </w:r>
      <w:r w:rsidR="00020B8E" w:rsidRPr="00FE5415">
        <w:rPr>
          <w:rFonts w:ascii="Times New Roman" w:hAnsi="Times New Roman" w:cs="Times New Roman"/>
          <w:sz w:val="20"/>
          <w:szCs w:val="20"/>
        </w:rPr>
        <w:t xml:space="preserve">nited </w:t>
      </w:r>
      <w:r w:rsidRPr="00FE5415">
        <w:rPr>
          <w:rFonts w:ascii="Times New Roman" w:hAnsi="Times New Roman" w:cs="Times New Roman"/>
          <w:sz w:val="20"/>
          <w:szCs w:val="20"/>
        </w:rPr>
        <w:t>S</w:t>
      </w:r>
      <w:r w:rsidR="00020B8E" w:rsidRPr="00FE5415">
        <w:rPr>
          <w:rFonts w:ascii="Times New Roman" w:hAnsi="Times New Roman" w:cs="Times New Roman"/>
          <w:sz w:val="20"/>
          <w:szCs w:val="20"/>
        </w:rPr>
        <w:t>tates</w:t>
      </w:r>
      <w:r w:rsidRPr="00FE5415">
        <w:rPr>
          <w:rFonts w:ascii="Times New Roman" w:hAnsi="Times New Roman" w:cs="Times New Roman"/>
          <w:sz w:val="20"/>
          <w:szCs w:val="20"/>
        </w:rPr>
        <w:t xml:space="preserve"> and </w:t>
      </w:r>
      <w:r w:rsidR="003100C2">
        <w:rPr>
          <w:rFonts w:ascii="Times New Roman" w:hAnsi="Times New Roman" w:cs="Times New Roman"/>
          <w:sz w:val="20"/>
          <w:szCs w:val="20"/>
        </w:rPr>
        <w:t xml:space="preserve">each </w:t>
      </w:r>
      <w:r w:rsidRPr="00FE5415">
        <w:rPr>
          <w:rFonts w:ascii="Times New Roman" w:hAnsi="Times New Roman" w:cs="Times New Roman"/>
          <w:sz w:val="20"/>
          <w:szCs w:val="20"/>
        </w:rPr>
        <w:t>Municipio in Puerto Rico.</w:t>
      </w:r>
      <w:r w:rsidR="003100C2">
        <w:rPr>
          <w:rStyle w:val="FootnoteReference"/>
          <w:rFonts w:ascii="Times New Roman" w:hAnsi="Times New Roman" w:cs="Times New Roman"/>
          <w:sz w:val="20"/>
          <w:szCs w:val="20"/>
        </w:rPr>
        <w:footnoteReference w:id="32"/>
      </w:r>
      <w:r w:rsidRPr="00FE5415">
        <w:rPr>
          <w:rFonts w:ascii="Times New Roman" w:hAnsi="Times New Roman" w:cs="Times New Roman"/>
          <w:sz w:val="20"/>
          <w:szCs w:val="20"/>
        </w:rPr>
        <w:t xml:space="preserve">  Thus, a person in a housing unit that is in sample only represents people within their county. </w:t>
      </w:r>
      <w:r w:rsidR="00506484" w:rsidRPr="00FE5415">
        <w:rPr>
          <w:rFonts w:ascii="Times New Roman" w:hAnsi="Times New Roman" w:cs="Times New Roman"/>
          <w:sz w:val="20"/>
          <w:szCs w:val="20"/>
        </w:rPr>
        <w:t xml:space="preserve"> </w:t>
      </w:r>
      <w:r w:rsidR="00376BB1" w:rsidRPr="00FE5415">
        <w:rPr>
          <w:rFonts w:ascii="Times New Roman" w:hAnsi="Times New Roman" w:cs="Times New Roman"/>
          <w:sz w:val="20"/>
          <w:szCs w:val="20"/>
        </w:rPr>
        <w:t>However, g</w:t>
      </w:r>
      <w:r w:rsidR="00506484" w:rsidRPr="00FE5415">
        <w:rPr>
          <w:rFonts w:ascii="Times New Roman" w:hAnsi="Times New Roman" w:cs="Times New Roman"/>
          <w:sz w:val="20"/>
          <w:szCs w:val="20"/>
        </w:rPr>
        <w:t xml:space="preserve">roup quarters are selected </w:t>
      </w:r>
      <w:r w:rsidR="00376BB1" w:rsidRPr="00FE5415">
        <w:rPr>
          <w:rFonts w:ascii="Times New Roman" w:hAnsi="Times New Roman" w:cs="Times New Roman"/>
          <w:sz w:val="20"/>
          <w:szCs w:val="20"/>
        </w:rPr>
        <w:t>at the state level rather than the county level</w:t>
      </w:r>
      <w:r w:rsidR="00506484" w:rsidRPr="00FE5415">
        <w:rPr>
          <w:rFonts w:ascii="Times New Roman" w:hAnsi="Times New Roman" w:cs="Times New Roman"/>
          <w:sz w:val="20"/>
          <w:szCs w:val="20"/>
        </w:rPr>
        <w:t>.</w:t>
      </w:r>
      <w:r w:rsidR="00506484" w:rsidRPr="00FE5415">
        <w:rPr>
          <w:rStyle w:val="FootnoteReference"/>
          <w:rFonts w:ascii="Times New Roman" w:hAnsi="Times New Roman" w:cs="Times New Roman"/>
          <w:sz w:val="20"/>
          <w:szCs w:val="20"/>
        </w:rPr>
        <w:footnoteReference w:id="33"/>
      </w:r>
      <w:r w:rsidRPr="00FE5415">
        <w:rPr>
          <w:rFonts w:ascii="Times New Roman" w:hAnsi="Times New Roman" w:cs="Times New Roman"/>
          <w:sz w:val="20"/>
          <w:szCs w:val="20"/>
        </w:rPr>
        <w:t xml:space="preserve"> </w:t>
      </w:r>
    </w:p>
    <w:p w:rsidR="00F749D8" w:rsidRPr="00FE5415" w:rsidRDefault="00230C66"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In order to determine if coverage at the county level is an issue, we</w:t>
      </w:r>
      <w:r w:rsidR="0097120E" w:rsidRPr="00FE5415">
        <w:rPr>
          <w:rFonts w:ascii="Times New Roman" w:hAnsi="Times New Roman" w:cs="Times New Roman"/>
          <w:sz w:val="20"/>
          <w:szCs w:val="20"/>
        </w:rPr>
        <w:t xml:space="preserve"> looked at how the </w:t>
      </w:r>
      <w:r w:rsidR="00135D4B">
        <w:rPr>
          <w:rFonts w:ascii="Times New Roman" w:hAnsi="Times New Roman" w:cs="Times New Roman"/>
          <w:sz w:val="20"/>
          <w:szCs w:val="20"/>
        </w:rPr>
        <w:t xml:space="preserve">ASEC </w:t>
      </w:r>
      <w:r w:rsidR="0097120E" w:rsidRPr="00FE5415">
        <w:rPr>
          <w:rFonts w:ascii="Times New Roman" w:hAnsi="Times New Roman" w:cs="Times New Roman"/>
          <w:sz w:val="20"/>
          <w:szCs w:val="20"/>
        </w:rPr>
        <w:t>mover rate would change if the ACS county-level mover rates were applied to the</w:t>
      </w:r>
      <w:r w:rsidR="00347C9D">
        <w:rPr>
          <w:rFonts w:ascii="Times New Roman" w:hAnsi="Times New Roman" w:cs="Times New Roman"/>
          <w:sz w:val="20"/>
          <w:szCs w:val="20"/>
        </w:rPr>
        <w:t xml:space="preserve"> weighted population estimates for the 1,347 counties sampled in the 2013</w:t>
      </w:r>
      <w:r w:rsidR="0097120E" w:rsidRPr="00FE5415">
        <w:rPr>
          <w:rFonts w:ascii="Times New Roman" w:hAnsi="Times New Roman" w:cs="Times New Roman"/>
          <w:sz w:val="20"/>
          <w:szCs w:val="20"/>
        </w:rPr>
        <w:t xml:space="preserve"> ASEC, which is limited to a subset of counties.  The weighted population for each county in </w:t>
      </w:r>
      <w:r w:rsidR="001B178C" w:rsidRPr="00FE5415">
        <w:rPr>
          <w:rFonts w:ascii="Times New Roman" w:hAnsi="Times New Roman" w:cs="Times New Roman"/>
          <w:sz w:val="20"/>
          <w:szCs w:val="20"/>
        </w:rPr>
        <w:t xml:space="preserve">the </w:t>
      </w:r>
      <w:r w:rsidR="0097120E" w:rsidRPr="00FE5415">
        <w:rPr>
          <w:rFonts w:ascii="Times New Roman" w:hAnsi="Times New Roman" w:cs="Times New Roman"/>
          <w:sz w:val="20"/>
          <w:szCs w:val="20"/>
        </w:rPr>
        <w:t>2013 ASEC was multipl</w:t>
      </w:r>
      <w:r w:rsidR="001B178C" w:rsidRPr="00FE5415">
        <w:rPr>
          <w:rFonts w:ascii="Times New Roman" w:hAnsi="Times New Roman" w:cs="Times New Roman"/>
          <w:sz w:val="20"/>
          <w:szCs w:val="20"/>
        </w:rPr>
        <w:t>i</w:t>
      </w:r>
      <w:r w:rsidR="0097120E" w:rsidRPr="00FE5415">
        <w:rPr>
          <w:rFonts w:ascii="Times New Roman" w:hAnsi="Times New Roman" w:cs="Times New Roman"/>
          <w:sz w:val="20"/>
          <w:szCs w:val="20"/>
        </w:rPr>
        <w:t xml:space="preserve">ed by the </w:t>
      </w:r>
      <w:r w:rsidR="00D310DB" w:rsidRPr="00FE5415">
        <w:rPr>
          <w:rFonts w:ascii="Times New Roman" w:hAnsi="Times New Roman" w:cs="Times New Roman"/>
          <w:sz w:val="20"/>
          <w:szCs w:val="20"/>
        </w:rPr>
        <w:t>2009</w:t>
      </w:r>
      <w:r w:rsidRPr="00FE5415">
        <w:rPr>
          <w:rFonts w:ascii="Times New Roman" w:hAnsi="Times New Roman" w:cs="Times New Roman"/>
          <w:sz w:val="20"/>
          <w:szCs w:val="20"/>
        </w:rPr>
        <w:t>-20</w:t>
      </w:r>
      <w:r w:rsidR="000645C8" w:rsidRPr="00FE5415">
        <w:rPr>
          <w:rFonts w:ascii="Times New Roman" w:hAnsi="Times New Roman" w:cs="Times New Roman"/>
          <w:sz w:val="20"/>
          <w:szCs w:val="20"/>
        </w:rPr>
        <w:t>13 5-year ACS county mover rates</w:t>
      </w:r>
      <w:r w:rsidR="001B178C" w:rsidRPr="00FE5415">
        <w:rPr>
          <w:rFonts w:ascii="Times New Roman" w:hAnsi="Times New Roman" w:cs="Times New Roman"/>
          <w:sz w:val="20"/>
          <w:szCs w:val="20"/>
        </w:rPr>
        <w:t xml:space="preserve"> to </w:t>
      </w:r>
      <w:r w:rsidR="00534C37" w:rsidRPr="00FE5415">
        <w:rPr>
          <w:rFonts w:ascii="Times New Roman" w:hAnsi="Times New Roman" w:cs="Times New Roman"/>
          <w:sz w:val="20"/>
          <w:szCs w:val="20"/>
        </w:rPr>
        <w:t>obtain</w:t>
      </w:r>
      <w:r w:rsidR="001B178C" w:rsidRPr="00FE5415">
        <w:rPr>
          <w:rFonts w:ascii="Times New Roman" w:hAnsi="Times New Roman" w:cs="Times New Roman"/>
          <w:sz w:val="20"/>
          <w:szCs w:val="20"/>
        </w:rPr>
        <w:t xml:space="preserve"> a weighted</w:t>
      </w:r>
      <w:r w:rsidR="000645C8" w:rsidRPr="00FE5415">
        <w:rPr>
          <w:rFonts w:ascii="Times New Roman" w:hAnsi="Times New Roman" w:cs="Times New Roman"/>
          <w:sz w:val="20"/>
          <w:szCs w:val="20"/>
        </w:rPr>
        <w:t xml:space="preserve"> number of movers</w:t>
      </w:r>
      <w:r w:rsidR="001B178C" w:rsidRPr="00FE5415">
        <w:rPr>
          <w:rFonts w:ascii="Times New Roman" w:hAnsi="Times New Roman" w:cs="Times New Roman"/>
          <w:sz w:val="20"/>
          <w:szCs w:val="20"/>
        </w:rPr>
        <w:t xml:space="preserve"> for each sampled county</w:t>
      </w:r>
      <w:r w:rsidRPr="00FE5415">
        <w:rPr>
          <w:rFonts w:ascii="Times New Roman" w:hAnsi="Times New Roman" w:cs="Times New Roman"/>
          <w:sz w:val="20"/>
          <w:szCs w:val="20"/>
        </w:rPr>
        <w:t>.</w:t>
      </w:r>
      <w:r w:rsidR="00E57728" w:rsidRPr="00FE5415">
        <w:rPr>
          <w:rStyle w:val="FootnoteReference"/>
          <w:rFonts w:ascii="Times New Roman" w:hAnsi="Times New Roman" w:cs="Times New Roman"/>
          <w:sz w:val="20"/>
          <w:szCs w:val="20"/>
        </w:rPr>
        <w:footnoteReference w:id="34"/>
      </w:r>
      <w:r w:rsidR="00FC1048" w:rsidRPr="00FE5415">
        <w:rPr>
          <w:rFonts w:ascii="Times New Roman" w:hAnsi="Times New Roman" w:cs="Times New Roman"/>
          <w:sz w:val="20"/>
          <w:szCs w:val="20"/>
        </w:rPr>
        <w:t xml:space="preserve"> </w:t>
      </w:r>
      <w:r w:rsidR="00887EFE" w:rsidRPr="00FE5415">
        <w:rPr>
          <w:rFonts w:ascii="Times New Roman" w:hAnsi="Times New Roman" w:cs="Times New Roman"/>
          <w:sz w:val="20"/>
          <w:szCs w:val="20"/>
        </w:rPr>
        <w:t xml:space="preserve">Five-year ACS data were used because all counties </w:t>
      </w:r>
      <w:r w:rsidR="00B60BBB">
        <w:rPr>
          <w:rFonts w:ascii="Times New Roman" w:hAnsi="Times New Roman" w:cs="Times New Roman"/>
          <w:sz w:val="20"/>
          <w:szCs w:val="20"/>
        </w:rPr>
        <w:t>a</w:t>
      </w:r>
      <w:r w:rsidR="00B60BBB" w:rsidRPr="00FE5415">
        <w:rPr>
          <w:rFonts w:ascii="Times New Roman" w:hAnsi="Times New Roman" w:cs="Times New Roman"/>
          <w:sz w:val="20"/>
          <w:szCs w:val="20"/>
        </w:rPr>
        <w:t xml:space="preserve">re </w:t>
      </w:r>
      <w:r w:rsidR="00887EFE" w:rsidRPr="00FE5415">
        <w:rPr>
          <w:rFonts w:ascii="Times New Roman" w:hAnsi="Times New Roman" w:cs="Times New Roman"/>
          <w:sz w:val="20"/>
          <w:szCs w:val="20"/>
        </w:rPr>
        <w:t xml:space="preserve">represented, whereas only counties with populations of 65,000 or more </w:t>
      </w:r>
      <w:r w:rsidR="00183B4E" w:rsidRPr="00FE5415">
        <w:rPr>
          <w:rFonts w:ascii="Times New Roman" w:hAnsi="Times New Roman" w:cs="Times New Roman"/>
          <w:sz w:val="20"/>
          <w:szCs w:val="20"/>
        </w:rPr>
        <w:t>were</w:t>
      </w:r>
      <w:r w:rsidR="00887EFE" w:rsidRPr="00FE5415">
        <w:rPr>
          <w:rFonts w:ascii="Times New Roman" w:hAnsi="Times New Roman" w:cs="Times New Roman"/>
          <w:sz w:val="20"/>
          <w:szCs w:val="20"/>
        </w:rPr>
        <w:t xml:space="preserve"> represented in 1-year datasets. </w:t>
      </w:r>
      <w:r w:rsidR="000645C8" w:rsidRPr="00FE5415">
        <w:rPr>
          <w:rFonts w:ascii="Times New Roman" w:hAnsi="Times New Roman" w:cs="Times New Roman"/>
          <w:sz w:val="20"/>
          <w:szCs w:val="20"/>
        </w:rPr>
        <w:t>The aggregate of the</w:t>
      </w:r>
      <w:r w:rsidR="003E1047" w:rsidRPr="00FE5415">
        <w:rPr>
          <w:rFonts w:ascii="Times New Roman" w:hAnsi="Times New Roman" w:cs="Times New Roman"/>
          <w:sz w:val="20"/>
          <w:szCs w:val="20"/>
        </w:rPr>
        <w:t xml:space="preserve"> </w:t>
      </w:r>
      <w:r w:rsidR="007F1E19" w:rsidRPr="00FE5415">
        <w:rPr>
          <w:rFonts w:ascii="Times New Roman" w:hAnsi="Times New Roman" w:cs="Times New Roman"/>
          <w:sz w:val="20"/>
          <w:szCs w:val="20"/>
        </w:rPr>
        <w:t xml:space="preserve">number of movers </w:t>
      </w:r>
      <w:r w:rsidR="000645C8" w:rsidRPr="00FE5415">
        <w:rPr>
          <w:rFonts w:ascii="Times New Roman" w:hAnsi="Times New Roman" w:cs="Times New Roman"/>
          <w:sz w:val="20"/>
          <w:szCs w:val="20"/>
        </w:rPr>
        <w:t xml:space="preserve">for counties divided by the national population produced a mover rate of </w:t>
      </w:r>
      <w:r w:rsidR="003E1047" w:rsidRPr="00FE5415">
        <w:rPr>
          <w:rFonts w:ascii="Times New Roman" w:hAnsi="Times New Roman" w:cs="Times New Roman"/>
          <w:sz w:val="20"/>
          <w:szCs w:val="20"/>
        </w:rPr>
        <w:t>15.10 percent</w:t>
      </w:r>
      <w:r w:rsidR="000645C8" w:rsidRPr="00FE5415">
        <w:rPr>
          <w:rFonts w:ascii="Times New Roman" w:hAnsi="Times New Roman" w:cs="Times New Roman"/>
          <w:sz w:val="20"/>
          <w:szCs w:val="20"/>
        </w:rPr>
        <w:t>. This compares</w:t>
      </w:r>
      <w:r w:rsidR="003E1047" w:rsidRPr="00FE5415">
        <w:rPr>
          <w:rFonts w:ascii="Times New Roman" w:hAnsi="Times New Roman" w:cs="Times New Roman"/>
          <w:sz w:val="20"/>
          <w:szCs w:val="20"/>
        </w:rPr>
        <w:t xml:space="preserve"> to 15.11 percent for the 2009-2013 ACS mover rate. </w:t>
      </w:r>
      <w:r w:rsidR="00EC7490" w:rsidRPr="00FE5415">
        <w:rPr>
          <w:rFonts w:ascii="Times New Roman" w:hAnsi="Times New Roman" w:cs="Times New Roman"/>
          <w:sz w:val="20"/>
          <w:szCs w:val="20"/>
        </w:rPr>
        <w:t>Based on the findings, we concluded that</w:t>
      </w:r>
      <w:r w:rsidR="001B178C" w:rsidRPr="00FE5415">
        <w:rPr>
          <w:rFonts w:ascii="Times New Roman" w:hAnsi="Times New Roman" w:cs="Times New Roman"/>
          <w:sz w:val="20"/>
          <w:szCs w:val="20"/>
        </w:rPr>
        <w:t xml:space="preserve"> </w:t>
      </w:r>
      <w:r w:rsidR="003E1047" w:rsidRPr="00FE5415">
        <w:rPr>
          <w:rFonts w:ascii="Times New Roman" w:hAnsi="Times New Roman" w:cs="Times New Roman"/>
          <w:sz w:val="20"/>
          <w:szCs w:val="20"/>
        </w:rPr>
        <w:t>the count</w:t>
      </w:r>
      <w:r w:rsidR="003E074E" w:rsidRPr="00FE5415">
        <w:rPr>
          <w:rFonts w:ascii="Times New Roman" w:hAnsi="Times New Roman" w:cs="Times New Roman"/>
          <w:sz w:val="20"/>
          <w:szCs w:val="20"/>
        </w:rPr>
        <w:t>y</w:t>
      </w:r>
      <w:r w:rsidR="003E1047" w:rsidRPr="00FE5415">
        <w:rPr>
          <w:rFonts w:ascii="Times New Roman" w:hAnsi="Times New Roman" w:cs="Times New Roman"/>
          <w:sz w:val="20"/>
          <w:szCs w:val="20"/>
        </w:rPr>
        <w:t xml:space="preserve"> coverage in CPS-ASEC had no sizeable effect on the national mover rate.</w:t>
      </w:r>
    </w:p>
    <w:p w:rsidR="00062F38" w:rsidRDefault="00062F38" w:rsidP="003637B2">
      <w:pPr>
        <w:rPr>
          <w:rFonts w:ascii="Times New Roman" w:hAnsi="Times New Roman" w:cs="Times New Roman"/>
          <w:b/>
          <w:sz w:val="20"/>
          <w:szCs w:val="20"/>
        </w:rPr>
      </w:pPr>
    </w:p>
    <w:p w:rsidR="00062F38" w:rsidRDefault="00062F38" w:rsidP="003637B2">
      <w:pPr>
        <w:rPr>
          <w:rFonts w:ascii="Times New Roman" w:hAnsi="Times New Roman" w:cs="Times New Roman"/>
          <w:b/>
          <w:sz w:val="20"/>
          <w:szCs w:val="20"/>
        </w:rPr>
      </w:pPr>
    </w:p>
    <w:p w:rsidR="001B1B34" w:rsidRPr="00FE5415" w:rsidRDefault="001B1B34" w:rsidP="003637B2">
      <w:pPr>
        <w:rPr>
          <w:rFonts w:ascii="Times New Roman" w:hAnsi="Times New Roman" w:cs="Times New Roman"/>
          <w:b/>
          <w:sz w:val="20"/>
          <w:szCs w:val="20"/>
        </w:rPr>
      </w:pPr>
      <w:r w:rsidRPr="00FE5415">
        <w:rPr>
          <w:rFonts w:ascii="Times New Roman" w:hAnsi="Times New Roman" w:cs="Times New Roman"/>
          <w:b/>
          <w:sz w:val="20"/>
          <w:szCs w:val="20"/>
        </w:rPr>
        <w:t>Nonresponse and Allocation Rates</w:t>
      </w:r>
    </w:p>
    <w:p w:rsidR="00F749D8" w:rsidRPr="00FE5415" w:rsidRDefault="001B1B34" w:rsidP="003637B2">
      <w:pPr>
        <w:spacing w:line="240" w:lineRule="auto"/>
        <w:rPr>
          <w:rFonts w:ascii="Times New Roman" w:hAnsi="Times New Roman" w:cs="Times New Roman"/>
          <w:sz w:val="20"/>
          <w:szCs w:val="20"/>
        </w:rPr>
      </w:pPr>
      <w:r w:rsidRPr="00FE5415">
        <w:rPr>
          <w:rFonts w:ascii="Times New Roman" w:hAnsi="Times New Roman" w:cs="Times New Roman"/>
          <w:sz w:val="20"/>
          <w:szCs w:val="20"/>
        </w:rPr>
        <w:t xml:space="preserve">Because the ACS is mandatory and there is an extended collection period, the </w:t>
      </w:r>
      <w:r w:rsidR="006C7461" w:rsidRPr="00FE5415">
        <w:rPr>
          <w:rFonts w:ascii="Times New Roman" w:hAnsi="Times New Roman" w:cs="Times New Roman"/>
          <w:sz w:val="20"/>
          <w:szCs w:val="20"/>
        </w:rPr>
        <w:t xml:space="preserve">total </w:t>
      </w:r>
      <w:r w:rsidR="00B2396A" w:rsidRPr="00FE5415">
        <w:rPr>
          <w:rFonts w:ascii="Times New Roman" w:hAnsi="Times New Roman" w:cs="Times New Roman"/>
          <w:sz w:val="20"/>
          <w:szCs w:val="20"/>
        </w:rPr>
        <w:t xml:space="preserve">overall </w:t>
      </w:r>
      <w:r w:rsidRPr="00FE5415">
        <w:rPr>
          <w:rFonts w:ascii="Times New Roman" w:hAnsi="Times New Roman" w:cs="Times New Roman"/>
          <w:sz w:val="20"/>
          <w:szCs w:val="20"/>
        </w:rPr>
        <w:t>nonresponse rates of households in sample are lower than ASEC</w:t>
      </w:r>
      <w:r w:rsidR="006C7461" w:rsidRPr="00FE5415">
        <w:rPr>
          <w:rFonts w:ascii="Times New Roman" w:hAnsi="Times New Roman" w:cs="Times New Roman"/>
          <w:sz w:val="20"/>
          <w:szCs w:val="20"/>
        </w:rPr>
        <w:t xml:space="preserve">, as shown in </w:t>
      </w:r>
      <w:r w:rsidR="006C7461" w:rsidRPr="00FE5415">
        <w:rPr>
          <w:rFonts w:ascii="Times New Roman" w:hAnsi="Times New Roman" w:cs="Times New Roman"/>
          <w:b/>
          <w:sz w:val="20"/>
          <w:szCs w:val="20"/>
        </w:rPr>
        <w:t>Table 4</w:t>
      </w:r>
      <w:r w:rsidRPr="00FE5415">
        <w:rPr>
          <w:rFonts w:ascii="Times New Roman" w:hAnsi="Times New Roman" w:cs="Times New Roman"/>
          <w:sz w:val="20"/>
          <w:szCs w:val="20"/>
        </w:rPr>
        <w:t xml:space="preserve">. In addition, a household may participate in the CPS-basic survey and refuse to complete ASEC, </w:t>
      </w:r>
      <w:r w:rsidR="002168DC" w:rsidRPr="00FE5415">
        <w:rPr>
          <w:rFonts w:ascii="Times New Roman" w:hAnsi="Times New Roman" w:cs="Times New Roman"/>
          <w:sz w:val="20"/>
          <w:szCs w:val="20"/>
        </w:rPr>
        <w:t>meaning</w:t>
      </w:r>
      <w:r w:rsidRPr="00FE5415">
        <w:rPr>
          <w:rFonts w:ascii="Times New Roman" w:hAnsi="Times New Roman" w:cs="Times New Roman"/>
          <w:sz w:val="20"/>
          <w:szCs w:val="20"/>
        </w:rPr>
        <w:t xml:space="preserve"> there are two opportunities not to respond.</w:t>
      </w:r>
    </w:p>
    <w:p w:rsidR="001B1B34" w:rsidRPr="00FE5415" w:rsidRDefault="001B1B34"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Table</w:t>
      </w:r>
      <w:r w:rsidR="006C7461" w:rsidRPr="00FE5415">
        <w:rPr>
          <w:rFonts w:ascii="Times New Roman" w:hAnsi="Times New Roman" w:cs="Times New Roman"/>
          <w:sz w:val="20"/>
          <w:szCs w:val="20"/>
        </w:rPr>
        <w:t xml:space="preserve"> 4</w:t>
      </w:r>
      <w:r w:rsidRPr="00FE5415">
        <w:rPr>
          <w:rFonts w:ascii="Times New Roman" w:hAnsi="Times New Roman" w:cs="Times New Roman"/>
          <w:sz w:val="20"/>
          <w:szCs w:val="20"/>
        </w:rPr>
        <w:t xml:space="preserve">.  </w:t>
      </w:r>
      <w:r w:rsidR="00B60BBB">
        <w:rPr>
          <w:rFonts w:ascii="Times New Roman" w:hAnsi="Times New Roman" w:cs="Times New Roman"/>
          <w:sz w:val="20"/>
          <w:szCs w:val="20"/>
        </w:rPr>
        <w:t>ASEC and ACS</w:t>
      </w:r>
      <w:r w:rsidR="00B60BBB" w:rsidRPr="00FE5415">
        <w:rPr>
          <w:rFonts w:ascii="Times New Roman" w:hAnsi="Times New Roman" w:cs="Times New Roman"/>
          <w:sz w:val="20"/>
          <w:szCs w:val="20"/>
        </w:rPr>
        <w:t xml:space="preserve"> </w:t>
      </w:r>
      <w:r w:rsidRPr="00FE5415">
        <w:rPr>
          <w:rFonts w:ascii="Times New Roman" w:hAnsi="Times New Roman" w:cs="Times New Roman"/>
          <w:sz w:val="20"/>
          <w:szCs w:val="20"/>
        </w:rPr>
        <w:t>Nonresponse Rates</w:t>
      </w:r>
      <w:r w:rsidR="00B60BBB">
        <w:rPr>
          <w:rFonts w:ascii="Times New Roman" w:hAnsi="Times New Roman" w:cs="Times New Roman"/>
          <w:sz w:val="20"/>
          <w:szCs w:val="20"/>
        </w:rPr>
        <w:t>: 2005 to 2013</w:t>
      </w:r>
    </w:p>
    <w:tbl>
      <w:tblPr>
        <w:tblW w:w="8568" w:type="dxa"/>
        <w:tblLayout w:type="fixed"/>
        <w:tblLook w:val="04A0" w:firstRow="1" w:lastRow="0" w:firstColumn="1" w:lastColumn="0" w:noHBand="0" w:noVBand="1"/>
      </w:tblPr>
      <w:tblGrid>
        <w:gridCol w:w="1368"/>
        <w:gridCol w:w="2520"/>
        <w:gridCol w:w="2280"/>
        <w:gridCol w:w="2400"/>
      </w:tblGrid>
      <w:tr w:rsidR="001B1B34" w:rsidRPr="00FE5415" w:rsidTr="009D4A93">
        <w:trPr>
          <w:trHeight w:val="300"/>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1B34" w:rsidRPr="00FE5415" w:rsidRDefault="001B1B34" w:rsidP="00B60BBB">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Survey Year</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1B1B34" w:rsidRPr="00FE5415" w:rsidRDefault="001B1B34" w:rsidP="009D4A93">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ASEC</w:t>
            </w:r>
          </w:p>
        </w:tc>
        <w:tc>
          <w:tcPr>
            <w:tcW w:w="4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B34" w:rsidRPr="00FE5415" w:rsidRDefault="001B1B34">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ACS</w:t>
            </w:r>
          </w:p>
        </w:tc>
      </w:tr>
      <w:tr w:rsidR="001B1B34" w:rsidRPr="00FE5415" w:rsidTr="009D4A93">
        <w:trPr>
          <w:trHeight w:val="300"/>
        </w:trPr>
        <w:tc>
          <w:tcPr>
            <w:tcW w:w="1368" w:type="dxa"/>
            <w:vMerge/>
            <w:tcBorders>
              <w:top w:val="single" w:sz="4" w:space="0" w:color="auto"/>
              <w:left w:val="single" w:sz="4" w:space="0" w:color="auto"/>
              <w:bottom w:val="single" w:sz="4" w:space="0" w:color="000000"/>
              <w:right w:val="single" w:sz="4" w:space="0" w:color="auto"/>
            </w:tcBorders>
            <w:vAlign w:val="center"/>
            <w:hideMark/>
          </w:tcPr>
          <w:p w:rsidR="001B1B34" w:rsidRPr="00FE5415" w:rsidRDefault="001B1B34">
            <w:pPr>
              <w:spacing w:after="0" w:line="240" w:lineRule="auto"/>
              <w:rPr>
                <w:rFonts w:ascii="Times New Roman" w:eastAsia="Times New Roman" w:hAnsi="Times New Roman" w:cs="Times New Roman"/>
                <w:color w:val="000000"/>
                <w:sz w:val="20"/>
                <w:szCs w:val="20"/>
              </w:rPr>
            </w:pPr>
          </w:p>
        </w:tc>
        <w:tc>
          <w:tcPr>
            <w:tcW w:w="2520" w:type="dxa"/>
            <w:tcBorders>
              <w:top w:val="nil"/>
              <w:left w:val="nil"/>
              <w:bottom w:val="single" w:sz="4" w:space="0" w:color="auto"/>
              <w:right w:val="single" w:sz="4" w:space="0" w:color="auto"/>
            </w:tcBorders>
            <w:shd w:val="clear" w:color="auto" w:fill="auto"/>
            <w:noWrap/>
            <w:vAlign w:val="bottom"/>
            <w:hideMark/>
          </w:tcPr>
          <w:p w:rsidR="001B1B34" w:rsidRPr="00FE5415" w:rsidRDefault="001B1B34" w:rsidP="009D4A93">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Total</w:t>
            </w:r>
          </w:p>
        </w:tc>
        <w:tc>
          <w:tcPr>
            <w:tcW w:w="2280" w:type="dxa"/>
            <w:tcBorders>
              <w:top w:val="nil"/>
              <w:left w:val="nil"/>
              <w:bottom w:val="single" w:sz="4" w:space="0" w:color="auto"/>
              <w:right w:val="single" w:sz="4" w:space="0" w:color="auto"/>
            </w:tcBorders>
            <w:shd w:val="clear" w:color="auto" w:fill="auto"/>
            <w:noWrap/>
            <w:vAlign w:val="bottom"/>
            <w:hideMark/>
          </w:tcPr>
          <w:p w:rsidR="001B1B34" w:rsidRPr="00FE5415" w:rsidRDefault="001B1B34" w:rsidP="009D4A93">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Housing Units</w:t>
            </w:r>
          </w:p>
        </w:tc>
        <w:tc>
          <w:tcPr>
            <w:tcW w:w="2400" w:type="dxa"/>
            <w:tcBorders>
              <w:top w:val="nil"/>
              <w:left w:val="nil"/>
              <w:bottom w:val="single" w:sz="4" w:space="0" w:color="auto"/>
              <w:right w:val="single" w:sz="4" w:space="0" w:color="auto"/>
            </w:tcBorders>
            <w:shd w:val="clear" w:color="auto" w:fill="auto"/>
            <w:noWrap/>
            <w:vAlign w:val="bottom"/>
            <w:hideMark/>
          </w:tcPr>
          <w:p w:rsidR="001B1B34" w:rsidRPr="00FE5415" w:rsidRDefault="001B1B34" w:rsidP="009D4A93">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Group Quarters</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9D4A93">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2013</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20.4</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rsidP="00165668">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10.1</w:t>
            </w:r>
            <w:r w:rsidR="00165668">
              <w:rPr>
                <w:rFonts w:ascii="Times New Roman" w:eastAsia="Times New Roman" w:hAnsi="Times New Roman" w:cs="Times New Roman"/>
                <w:color w:val="000000"/>
                <w:sz w:val="20"/>
                <w:szCs w:val="20"/>
              </w:rPr>
              <w:t>*</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4.8</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2012</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19.2</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2.7</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4.9</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2011</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16.2</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2.4</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3.1</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2010</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14.1</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2.5</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2.4</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2009</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14.2</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2008</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15.6</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2.1</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2007</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17.1</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2.3</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2.2</w:t>
            </w:r>
          </w:p>
        </w:tc>
      </w:tr>
      <w:tr w:rsidR="001B1B34" w:rsidRPr="00FE5415" w:rsidTr="009D4A93">
        <w:trPr>
          <w:trHeight w:val="300"/>
        </w:trPr>
        <w:tc>
          <w:tcPr>
            <w:tcW w:w="1368" w:type="dxa"/>
            <w:tcBorders>
              <w:top w:val="nil"/>
              <w:left w:val="single" w:sz="4" w:space="0" w:color="auto"/>
              <w:bottom w:val="nil"/>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2006</w:t>
            </w:r>
          </w:p>
        </w:tc>
        <w:tc>
          <w:tcPr>
            <w:tcW w:w="252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16.7</w:t>
            </w:r>
          </w:p>
        </w:tc>
        <w:tc>
          <w:tcPr>
            <w:tcW w:w="228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2.5</w:t>
            </w:r>
          </w:p>
        </w:tc>
        <w:tc>
          <w:tcPr>
            <w:tcW w:w="2400" w:type="dxa"/>
            <w:tcBorders>
              <w:top w:val="nil"/>
              <w:left w:val="nil"/>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2.6</w:t>
            </w:r>
          </w:p>
        </w:tc>
      </w:tr>
      <w:tr w:rsidR="001B1B34" w:rsidRPr="00FE5415" w:rsidTr="009D4A93">
        <w:trPr>
          <w:trHeight w:val="300"/>
        </w:trPr>
        <w:tc>
          <w:tcPr>
            <w:tcW w:w="1368" w:type="dxa"/>
            <w:tcBorders>
              <w:top w:val="nil"/>
              <w:left w:val="single" w:sz="4" w:space="0" w:color="auto"/>
              <w:bottom w:val="single" w:sz="4" w:space="0" w:color="auto"/>
              <w:right w:val="nil"/>
            </w:tcBorders>
            <w:shd w:val="clear" w:color="auto" w:fill="auto"/>
            <w:noWrap/>
            <w:vAlign w:val="bottom"/>
            <w:hideMark/>
          </w:tcPr>
          <w:p w:rsidR="001B1B34" w:rsidRPr="00FE5415" w:rsidRDefault="001B1B34" w:rsidP="00BB0C8D">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2005</w:t>
            </w:r>
          </w:p>
        </w:tc>
        <w:tc>
          <w:tcPr>
            <w:tcW w:w="2520" w:type="dxa"/>
            <w:tcBorders>
              <w:top w:val="nil"/>
              <w:left w:val="single" w:sz="4" w:space="0" w:color="auto"/>
              <w:bottom w:val="single" w:sz="4" w:space="0" w:color="auto"/>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17.4</w:t>
            </w: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2.7</w:t>
            </w:r>
          </w:p>
        </w:tc>
        <w:tc>
          <w:tcPr>
            <w:tcW w:w="2400" w:type="dxa"/>
            <w:tcBorders>
              <w:top w:val="nil"/>
              <w:left w:val="nil"/>
              <w:bottom w:val="single" w:sz="4" w:space="0" w:color="auto"/>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N/A</w:t>
            </w:r>
          </w:p>
        </w:tc>
      </w:tr>
    </w:tbl>
    <w:p w:rsidR="00165668" w:rsidRDefault="00165668" w:rsidP="007A04AC">
      <w:pPr>
        <w:spacing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a result of the 2013 government shut down, the October 2013 housing unit panel only consisted of a first mailing. There was no second mailing, telephone follow up, or person follow-up operation for that month. </w:t>
      </w:r>
    </w:p>
    <w:p w:rsidR="00893442" w:rsidRPr="00FE5415" w:rsidRDefault="00842FE7" w:rsidP="007A04AC">
      <w:pPr>
        <w:spacing w:line="240" w:lineRule="auto"/>
        <w:contextualSpacing/>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 xml:space="preserve">Sources: </w:t>
      </w:r>
      <w:r w:rsidR="00B2396A" w:rsidRPr="00FE5415">
        <w:rPr>
          <w:rFonts w:ascii="Times New Roman" w:eastAsia="Times New Roman" w:hAnsi="Times New Roman" w:cs="Times New Roman"/>
          <w:color w:val="000000"/>
          <w:sz w:val="20"/>
          <w:szCs w:val="20"/>
        </w:rPr>
        <w:t>U.S. Census Bureau, Current Population Survey, Annual Social and Economic Supplement, 2013; American Community Survey, 2013.</w:t>
      </w:r>
    </w:p>
    <w:p w:rsidR="00F749D8" w:rsidRPr="00FE5415" w:rsidRDefault="00F749D8">
      <w:pPr>
        <w:spacing w:line="240" w:lineRule="auto"/>
        <w:ind w:firstLine="720"/>
        <w:contextualSpacing/>
        <w:rPr>
          <w:rFonts w:ascii="Times New Roman" w:eastAsia="Times New Roman" w:hAnsi="Times New Roman" w:cs="Times New Roman"/>
          <w:color w:val="000000"/>
          <w:sz w:val="20"/>
          <w:szCs w:val="20"/>
        </w:rPr>
      </w:pPr>
    </w:p>
    <w:p w:rsidR="00893442" w:rsidRPr="00FE5415" w:rsidRDefault="00893442">
      <w:pPr>
        <w:spacing w:line="240" w:lineRule="auto"/>
        <w:ind w:firstLine="720"/>
        <w:contextualSpacing/>
        <w:rPr>
          <w:rFonts w:ascii="Times New Roman" w:eastAsia="Times New Roman" w:hAnsi="Times New Roman" w:cs="Times New Roman"/>
          <w:color w:val="000000"/>
          <w:sz w:val="20"/>
          <w:szCs w:val="20"/>
        </w:rPr>
      </w:pPr>
    </w:p>
    <w:p w:rsidR="00A80801" w:rsidRPr="00FE5415" w:rsidRDefault="001B1B34"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Reasons for nonresponse</w:t>
      </w:r>
      <w:r w:rsidR="00103AB6">
        <w:rPr>
          <w:rFonts w:ascii="Times New Roman" w:hAnsi="Times New Roman" w:cs="Times New Roman"/>
          <w:sz w:val="20"/>
          <w:szCs w:val="20"/>
        </w:rPr>
        <w:t xml:space="preserve"> in both surveys</w:t>
      </w:r>
      <w:r w:rsidRPr="00FE5415">
        <w:rPr>
          <w:rFonts w:ascii="Times New Roman" w:hAnsi="Times New Roman" w:cs="Times New Roman"/>
          <w:sz w:val="20"/>
          <w:szCs w:val="20"/>
        </w:rPr>
        <w:t xml:space="preserve"> include refusal to take the survey, the address cannot be located, no one is home, temporarily absent from home, language problems, and insufficient data.</w:t>
      </w:r>
      <w:r w:rsidRPr="00FE5415">
        <w:rPr>
          <w:rStyle w:val="FootnoteReference"/>
          <w:rFonts w:ascii="Times New Roman" w:hAnsi="Times New Roman" w:cs="Times New Roman"/>
          <w:sz w:val="20"/>
          <w:szCs w:val="20"/>
        </w:rPr>
        <w:t xml:space="preserve"> </w:t>
      </w:r>
      <w:r w:rsidRPr="00FE5415">
        <w:rPr>
          <w:rStyle w:val="FootnoteReference"/>
          <w:rFonts w:ascii="Times New Roman" w:hAnsi="Times New Roman" w:cs="Times New Roman"/>
          <w:sz w:val="20"/>
          <w:szCs w:val="20"/>
        </w:rPr>
        <w:footnoteReference w:id="35"/>
      </w:r>
      <w:r w:rsidRPr="00FE5415">
        <w:rPr>
          <w:rFonts w:ascii="Times New Roman" w:hAnsi="Times New Roman" w:cs="Times New Roman"/>
          <w:sz w:val="20"/>
          <w:szCs w:val="20"/>
        </w:rPr>
        <w:t xml:space="preserve"> Not all partial responses are classified as insufficient data. If enough questions are answered, the survey is considered complete and processed normally. Any missing data, along with inconsistent data, are allocated after going through the edit </w:t>
      </w:r>
      <w:r w:rsidR="00842FE7" w:rsidRPr="00FE5415">
        <w:rPr>
          <w:rFonts w:ascii="Times New Roman" w:hAnsi="Times New Roman" w:cs="Times New Roman"/>
          <w:sz w:val="20"/>
          <w:szCs w:val="20"/>
        </w:rPr>
        <w:t>process</w:t>
      </w:r>
      <w:r w:rsidRPr="00FE5415">
        <w:rPr>
          <w:rFonts w:ascii="Times New Roman" w:hAnsi="Times New Roman" w:cs="Times New Roman"/>
          <w:sz w:val="20"/>
          <w:szCs w:val="20"/>
        </w:rPr>
        <w:t xml:space="preserve">. </w:t>
      </w:r>
    </w:p>
    <w:p w:rsidR="001B1B34" w:rsidRPr="00FE5415" w:rsidRDefault="001B1B34"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Item nonresponse can be due to a respondent refusing to answer a particular question or a survey end</w:t>
      </w:r>
      <w:r w:rsidR="003A4B7E" w:rsidRPr="00FE5415">
        <w:rPr>
          <w:rFonts w:ascii="Times New Roman" w:hAnsi="Times New Roman" w:cs="Times New Roman"/>
          <w:sz w:val="20"/>
          <w:szCs w:val="20"/>
        </w:rPr>
        <w:t>ing</w:t>
      </w:r>
      <w:r w:rsidRPr="00FE5415">
        <w:rPr>
          <w:rFonts w:ascii="Times New Roman" w:hAnsi="Times New Roman" w:cs="Times New Roman"/>
          <w:sz w:val="20"/>
          <w:szCs w:val="20"/>
        </w:rPr>
        <w:t xml:space="preserve"> prematurely</w:t>
      </w:r>
      <w:r w:rsidR="003A4B7E" w:rsidRPr="00FE5415">
        <w:rPr>
          <w:rFonts w:ascii="Times New Roman" w:hAnsi="Times New Roman" w:cs="Times New Roman"/>
          <w:sz w:val="20"/>
          <w:szCs w:val="20"/>
        </w:rPr>
        <w:t xml:space="preserve"> for </w:t>
      </w:r>
      <w:r w:rsidR="004F3E8A" w:rsidRPr="00FE5415">
        <w:rPr>
          <w:rFonts w:ascii="Times New Roman" w:hAnsi="Times New Roman" w:cs="Times New Roman"/>
          <w:sz w:val="20"/>
          <w:szCs w:val="20"/>
        </w:rPr>
        <w:t>any</w:t>
      </w:r>
      <w:r w:rsidR="003A4B7E" w:rsidRPr="00FE5415">
        <w:rPr>
          <w:rFonts w:ascii="Times New Roman" w:hAnsi="Times New Roman" w:cs="Times New Roman"/>
          <w:sz w:val="20"/>
          <w:szCs w:val="20"/>
        </w:rPr>
        <w:t xml:space="preserve"> reason</w:t>
      </w:r>
      <w:r w:rsidRPr="00FE5415">
        <w:rPr>
          <w:rFonts w:ascii="Times New Roman" w:hAnsi="Times New Roman" w:cs="Times New Roman"/>
          <w:sz w:val="20"/>
          <w:szCs w:val="20"/>
        </w:rPr>
        <w:t>. Because of their placement, questions that appear later in the surveys are disproportionately affected by item nonresponse. Respondents must complete all of the CPS basic questions and nearly all of the ASEC questions before answering their first migration question. For ACS, the migration questions are in the middle of questions</w:t>
      </w:r>
      <w:r w:rsidR="00842FE7" w:rsidRPr="00FE5415">
        <w:rPr>
          <w:rFonts w:ascii="Times New Roman" w:hAnsi="Times New Roman" w:cs="Times New Roman"/>
          <w:sz w:val="20"/>
          <w:szCs w:val="20"/>
        </w:rPr>
        <w:t xml:space="preserve"> asked for each individual</w:t>
      </w:r>
      <w:r w:rsidRPr="00FE5415">
        <w:rPr>
          <w:rFonts w:ascii="Times New Roman" w:hAnsi="Times New Roman" w:cs="Times New Roman"/>
          <w:sz w:val="20"/>
          <w:szCs w:val="20"/>
        </w:rPr>
        <w:t>, 30th out of 48</w:t>
      </w:r>
      <w:r w:rsidR="00966704">
        <w:rPr>
          <w:rFonts w:ascii="Times New Roman" w:hAnsi="Times New Roman" w:cs="Times New Roman"/>
          <w:sz w:val="20"/>
          <w:szCs w:val="20"/>
        </w:rPr>
        <w:t xml:space="preserve"> questions</w:t>
      </w:r>
      <w:r w:rsidRPr="00FE5415">
        <w:rPr>
          <w:rFonts w:ascii="Times New Roman" w:hAnsi="Times New Roman" w:cs="Times New Roman"/>
          <w:sz w:val="20"/>
          <w:szCs w:val="20"/>
        </w:rPr>
        <w:t>, which follow</w:t>
      </w:r>
      <w:r w:rsidR="0083012D" w:rsidRPr="00FE5415">
        <w:rPr>
          <w:rFonts w:ascii="Times New Roman" w:hAnsi="Times New Roman" w:cs="Times New Roman"/>
          <w:sz w:val="20"/>
          <w:szCs w:val="20"/>
        </w:rPr>
        <w:t xml:space="preserve"> </w:t>
      </w:r>
      <w:r w:rsidRPr="00FE5415">
        <w:rPr>
          <w:rFonts w:ascii="Times New Roman" w:hAnsi="Times New Roman" w:cs="Times New Roman"/>
          <w:sz w:val="20"/>
          <w:szCs w:val="20"/>
        </w:rPr>
        <w:t>the household questions.</w:t>
      </w:r>
    </w:p>
    <w:p w:rsidR="00EF6227" w:rsidRPr="00FE5415" w:rsidRDefault="001B1B34" w:rsidP="00EF6227">
      <w:pPr>
        <w:spacing w:line="240" w:lineRule="auto"/>
        <w:rPr>
          <w:rFonts w:ascii="Times New Roman" w:hAnsi="Times New Roman" w:cs="Times New Roman"/>
          <w:sz w:val="20"/>
          <w:szCs w:val="20"/>
        </w:rPr>
      </w:pPr>
      <w:r w:rsidRPr="00FE5415">
        <w:rPr>
          <w:rFonts w:ascii="Times New Roman" w:hAnsi="Times New Roman" w:cs="Times New Roman"/>
          <w:sz w:val="20"/>
          <w:szCs w:val="20"/>
        </w:rPr>
        <w:t>Like the nonresponse rates, allocation rates for mobility status in ACS are lower than ASEC. In order to improve ACS allocation rates, content Failed-Edit Follow-Up (FEFU)</w:t>
      </w:r>
      <w:r w:rsidRPr="00FE5415">
        <w:rPr>
          <w:rStyle w:val="FootnoteReference"/>
          <w:rFonts w:ascii="Times New Roman" w:hAnsi="Times New Roman" w:cs="Times New Roman"/>
          <w:sz w:val="20"/>
          <w:szCs w:val="20"/>
        </w:rPr>
        <w:t xml:space="preserve"> </w:t>
      </w:r>
      <w:r w:rsidRPr="00FE5415">
        <w:rPr>
          <w:rFonts w:ascii="Times New Roman" w:hAnsi="Times New Roman" w:cs="Times New Roman"/>
          <w:sz w:val="20"/>
          <w:szCs w:val="20"/>
        </w:rPr>
        <w:t>is conducted for mail and Internet cases that have a high number of item nonresponse or that are missing critical information, such as age or housing tenure.</w:t>
      </w:r>
      <w:r w:rsidR="00487EA1" w:rsidRPr="00FE5415">
        <w:rPr>
          <w:rStyle w:val="FootnoteReference"/>
          <w:rFonts w:ascii="Times New Roman" w:hAnsi="Times New Roman" w:cs="Times New Roman"/>
          <w:sz w:val="20"/>
          <w:szCs w:val="20"/>
        </w:rPr>
        <w:footnoteReference w:id="36"/>
      </w:r>
      <w:r w:rsidRPr="00FE5415">
        <w:rPr>
          <w:rFonts w:ascii="Times New Roman" w:hAnsi="Times New Roman" w:cs="Times New Roman"/>
          <w:sz w:val="20"/>
          <w:szCs w:val="20"/>
        </w:rPr>
        <w:t xml:space="preserve">  Between April and September 2008, FEFU operations were reduced.  They were suspended completely due to budget </w:t>
      </w:r>
      <w:r w:rsidR="001A31FC" w:rsidRPr="00FE5415">
        <w:rPr>
          <w:rFonts w:ascii="Times New Roman" w:hAnsi="Times New Roman" w:cs="Times New Roman"/>
          <w:sz w:val="20"/>
          <w:szCs w:val="20"/>
        </w:rPr>
        <w:t>concerns starting</w:t>
      </w:r>
      <w:r w:rsidRPr="00FE5415">
        <w:rPr>
          <w:rFonts w:ascii="Times New Roman" w:hAnsi="Times New Roman" w:cs="Times New Roman"/>
          <w:sz w:val="20"/>
          <w:szCs w:val="20"/>
        </w:rPr>
        <w:t xml:space="preserve"> in October 2012 and were not conducted in 2013 resulting in increased allocation rates.</w:t>
      </w:r>
      <w:r w:rsidRPr="00FE5415">
        <w:rPr>
          <w:rStyle w:val="FootnoteReference"/>
          <w:rFonts w:ascii="Times New Roman" w:hAnsi="Times New Roman" w:cs="Times New Roman"/>
          <w:sz w:val="20"/>
          <w:szCs w:val="20"/>
        </w:rPr>
        <w:footnoteReference w:id="37"/>
      </w:r>
      <w:r w:rsidRPr="00FE5415">
        <w:rPr>
          <w:rFonts w:ascii="Times New Roman" w:hAnsi="Times New Roman" w:cs="Times New Roman"/>
          <w:sz w:val="20"/>
          <w:szCs w:val="20"/>
        </w:rPr>
        <w:t xml:space="preserve"> </w:t>
      </w:r>
      <w:r w:rsidR="00DA01FA">
        <w:rPr>
          <w:rFonts w:ascii="Times New Roman" w:hAnsi="Times New Roman" w:cs="Times New Roman"/>
          <w:sz w:val="20"/>
          <w:szCs w:val="20"/>
        </w:rPr>
        <w:t>E</w:t>
      </w:r>
      <w:r w:rsidRPr="00FE5415">
        <w:rPr>
          <w:rFonts w:ascii="Times New Roman" w:hAnsi="Times New Roman" w:cs="Times New Roman"/>
          <w:sz w:val="20"/>
          <w:szCs w:val="20"/>
        </w:rPr>
        <w:t>ven with the increased ACS allocation rates, the ASEC still has higher alloc</w:t>
      </w:r>
      <w:r w:rsidR="00121264" w:rsidRPr="00FE5415">
        <w:rPr>
          <w:rFonts w:ascii="Times New Roman" w:hAnsi="Times New Roman" w:cs="Times New Roman"/>
          <w:sz w:val="20"/>
          <w:szCs w:val="20"/>
        </w:rPr>
        <w:t>ation rates for mobility status</w:t>
      </w:r>
      <w:r w:rsidR="00DA01FA">
        <w:rPr>
          <w:rFonts w:ascii="Times New Roman" w:hAnsi="Times New Roman" w:cs="Times New Roman"/>
          <w:sz w:val="20"/>
          <w:szCs w:val="20"/>
        </w:rPr>
        <w:t xml:space="preserve"> (see </w:t>
      </w:r>
      <w:r w:rsidR="00DA01FA">
        <w:rPr>
          <w:rFonts w:ascii="Times New Roman" w:hAnsi="Times New Roman" w:cs="Times New Roman"/>
          <w:b/>
          <w:sz w:val="20"/>
          <w:szCs w:val="20"/>
        </w:rPr>
        <w:t>Table 5</w:t>
      </w:r>
      <w:r w:rsidR="00DA01FA">
        <w:rPr>
          <w:rFonts w:ascii="Times New Roman" w:hAnsi="Times New Roman" w:cs="Times New Roman"/>
          <w:sz w:val="20"/>
          <w:szCs w:val="20"/>
        </w:rPr>
        <w:t>)</w:t>
      </w:r>
      <w:r w:rsidR="00121264" w:rsidRPr="00FE5415">
        <w:rPr>
          <w:rFonts w:ascii="Times New Roman" w:hAnsi="Times New Roman" w:cs="Times New Roman"/>
          <w:sz w:val="20"/>
          <w:szCs w:val="20"/>
        </w:rPr>
        <w:t>.</w:t>
      </w:r>
    </w:p>
    <w:p w:rsidR="0090660E" w:rsidRDefault="0090660E" w:rsidP="00FC74D8">
      <w:pPr>
        <w:spacing w:line="240" w:lineRule="auto"/>
        <w:rPr>
          <w:rFonts w:ascii="Times New Roman" w:hAnsi="Times New Roman" w:cs="Times New Roman"/>
          <w:sz w:val="20"/>
          <w:szCs w:val="20"/>
        </w:rPr>
      </w:pPr>
    </w:p>
    <w:p w:rsidR="001B1B34" w:rsidRPr="00FE5415" w:rsidRDefault="001B1B34"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Table</w:t>
      </w:r>
      <w:r w:rsidR="00851E40" w:rsidRPr="00FE5415">
        <w:rPr>
          <w:rFonts w:ascii="Times New Roman" w:hAnsi="Times New Roman" w:cs="Times New Roman"/>
          <w:sz w:val="20"/>
          <w:szCs w:val="20"/>
        </w:rPr>
        <w:t xml:space="preserve"> 5</w:t>
      </w:r>
      <w:r w:rsidR="00121264" w:rsidRPr="00FE5415">
        <w:rPr>
          <w:rFonts w:ascii="Times New Roman" w:hAnsi="Times New Roman" w:cs="Times New Roman"/>
          <w:sz w:val="20"/>
          <w:szCs w:val="20"/>
        </w:rPr>
        <w:t xml:space="preserve">. </w:t>
      </w:r>
      <w:r w:rsidR="008601C3">
        <w:rPr>
          <w:rFonts w:ascii="Times New Roman" w:hAnsi="Times New Roman" w:cs="Times New Roman"/>
          <w:sz w:val="20"/>
          <w:szCs w:val="20"/>
        </w:rPr>
        <w:t xml:space="preserve">ASEC and ACS </w:t>
      </w:r>
      <w:r w:rsidRPr="00FE5415">
        <w:rPr>
          <w:rFonts w:ascii="Times New Roman" w:hAnsi="Times New Roman" w:cs="Times New Roman"/>
          <w:sz w:val="20"/>
          <w:szCs w:val="20"/>
        </w:rPr>
        <w:t>Allocation Rates for Mobility Status</w:t>
      </w:r>
      <w:r w:rsidR="008601C3">
        <w:rPr>
          <w:rFonts w:ascii="Times New Roman" w:hAnsi="Times New Roman" w:cs="Times New Roman"/>
          <w:sz w:val="20"/>
          <w:szCs w:val="20"/>
        </w:rPr>
        <w:t>: 2005 to 2013</w:t>
      </w:r>
    </w:p>
    <w:tbl>
      <w:tblPr>
        <w:tblW w:w="7668" w:type="dxa"/>
        <w:tblLook w:val="04A0" w:firstRow="1" w:lastRow="0" w:firstColumn="1" w:lastColumn="0" w:noHBand="0" w:noVBand="1"/>
      </w:tblPr>
      <w:tblGrid>
        <w:gridCol w:w="2718"/>
        <w:gridCol w:w="2430"/>
        <w:gridCol w:w="2520"/>
      </w:tblGrid>
      <w:tr w:rsidR="001B1B34" w:rsidRPr="00FE5415" w:rsidTr="00322CB6">
        <w:trPr>
          <w:trHeight w:val="300"/>
        </w:trPr>
        <w:tc>
          <w:tcPr>
            <w:tcW w:w="2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B34" w:rsidRPr="00FE5415" w:rsidRDefault="001B1B34" w:rsidP="00BB0C8D">
            <w:pPr>
              <w:spacing w:after="0" w:line="240" w:lineRule="auto"/>
              <w:jc w:val="center"/>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Survey Year</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1B1B34" w:rsidRPr="00FE5415" w:rsidRDefault="001B1B34" w:rsidP="004968D0">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ASEC</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1B1B34" w:rsidRPr="00FE5415" w:rsidRDefault="001B1B34" w:rsidP="004968D0">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ACS</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2013</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16.9</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6.5</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2012</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15.6</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4.4</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2011</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16.1</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4.0</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2010</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13.0</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4.0</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2009</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11.5</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3.2</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2008</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11.3</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3.7</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2007</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12.8</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2.3</w:t>
            </w:r>
          </w:p>
        </w:tc>
      </w:tr>
      <w:tr w:rsidR="001B1B34" w:rsidRPr="00FE5415" w:rsidTr="00322CB6">
        <w:trPr>
          <w:trHeight w:val="300"/>
        </w:trPr>
        <w:tc>
          <w:tcPr>
            <w:tcW w:w="2718" w:type="dxa"/>
            <w:tcBorders>
              <w:top w:val="nil"/>
              <w:left w:val="single" w:sz="4" w:space="0" w:color="auto"/>
              <w:bottom w:val="nil"/>
              <w:right w:val="nil"/>
            </w:tcBorders>
            <w:shd w:val="clear" w:color="auto" w:fill="auto"/>
            <w:noWrap/>
            <w:vAlign w:val="bottom"/>
            <w:hideMark/>
          </w:tcPr>
          <w:p w:rsidR="001B1B34" w:rsidRPr="00FE5415" w:rsidRDefault="001B1B34" w:rsidP="004968D0">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2006</w:t>
            </w:r>
          </w:p>
        </w:tc>
        <w:tc>
          <w:tcPr>
            <w:tcW w:w="2430" w:type="dxa"/>
            <w:tcBorders>
              <w:top w:val="nil"/>
              <w:left w:val="single" w:sz="4" w:space="0" w:color="auto"/>
              <w:bottom w:val="nil"/>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12.1</w:t>
            </w:r>
          </w:p>
        </w:tc>
        <w:tc>
          <w:tcPr>
            <w:tcW w:w="2520" w:type="dxa"/>
            <w:tcBorders>
              <w:top w:val="nil"/>
              <w:left w:val="single" w:sz="4" w:space="0" w:color="auto"/>
              <w:bottom w:val="nil"/>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2.2</w:t>
            </w:r>
          </w:p>
        </w:tc>
      </w:tr>
      <w:tr w:rsidR="001B1B34" w:rsidRPr="00FE5415" w:rsidTr="00322CB6">
        <w:trPr>
          <w:trHeight w:val="300"/>
        </w:trPr>
        <w:tc>
          <w:tcPr>
            <w:tcW w:w="2718" w:type="dxa"/>
            <w:tcBorders>
              <w:top w:val="nil"/>
              <w:left w:val="single" w:sz="4" w:space="0" w:color="auto"/>
              <w:bottom w:val="single" w:sz="4" w:space="0" w:color="auto"/>
              <w:right w:val="nil"/>
            </w:tcBorders>
            <w:shd w:val="clear" w:color="auto" w:fill="auto"/>
            <w:noWrap/>
            <w:vAlign w:val="bottom"/>
            <w:hideMark/>
          </w:tcPr>
          <w:p w:rsidR="001B1B34" w:rsidRPr="00FE5415" w:rsidRDefault="001B1B34" w:rsidP="003A55FA">
            <w:pPr>
              <w:spacing w:after="0" w:line="240" w:lineRule="auto"/>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2005</w:t>
            </w:r>
          </w:p>
        </w:tc>
        <w:tc>
          <w:tcPr>
            <w:tcW w:w="2430" w:type="dxa"/>
            <w:tcBorders>
              <w:top w:val="nil"/>
              <w:left w:val="single" w:sz="4" w:space="0" w:color="auto"/>
              <w:bottom w:val="single" w:sz="4" w:space="0" w:color="auto"/>
              <w:right w:val="nil"/>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13.4</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1B1B34" w:rsidRPr="00FE5415" w:rsidRDefault="001B1B34">
            <w:pPr>
              <w:spacing w:after="0" w:line="240" w:lineRule="auto"/>
              <w:jc w:val="right"/>
              <w:rPr>
                <w:rFonts w:ascii="Times New Roman" w:eastAsia="Times New Roman" w:hAnsi="Times New Roman" w:cs="Times New Roman"/>
                <w:color w:val="000000"/>
                <w:sz w:val="20"/>
                <w:szCs w:val="20"/>
              </w:rPr>
            </w:pPr>
            <w:r w:rsidRPr="00FE5415">
              <w:rPr>
                <w:rFonts w:ascii="Times New Roman" w:eastAsia="Times New Roman" w:hAnsi="Times New Roman" w:cs="Times New Roman"/>
                <w:color w:val="000000"/>
                <w:sz w:val="20"/>
                <w:szCs w:val="20"/>
              </w:rPr>
              <w:t>2.1</w:t>
            </w:r>
          </w:p>
        </w:tc>
      </w:tr>
    </w:tbl>
    <w:p w:rsidR="00A5111E" w:rsidRDefault="009D6EE6" w:rsidP="00FC74D8">
      <w:pPr>
        <w:spacing w:line="240" w:lineRule="auto"/>
        <w:rPr>
          <w:rFonts w:ascii="Times New Roman" w:hAnsi="Times New Roman" w:cs="Times New Roman"/>
          <w:b/>
          <w:sz w:val="20"/>
          <w:szCs w:val="20"/>
        </w:rPr>
      </w:pPr>
      <w:r w:rsidRPr="00FE5415">
        <w:rPr>
          <w:rFonts w:ascii="Times New Roman" w:eastAsia="Times New Roman" w:hAnsi="Times New Roman" w:cs="Times New Roman"/>
          <w:color w:val="000000"/>
          <w:sz w:val="20"/>
          <w:szCs w:val="20"/>
        </w:rPr>
        <w:t>Sources: U.S. Census Bureau, Current Population Survey, Annual Social and Economic Supplement, 2005 to 2013; American Community Survey, 2005 to 2013, 1-year estimates.</w:t>
      </w:r>
    </w:p>
    <w:p w:rsidR="00656B28" w:rsidRDefault="00656B28" w:rsidP="00FC74D8">
      <w:pPr>
        <w:spacing w:line="240" w:lineRule="auto"/>
        <w:rPr>
          <w:rFonts w:ascii="Times New Roman" w:hAnsi="Times New Roman" w:cs="Times New Roman"/>
          <w:b/>
          <w:sz w:val="20"/>
          <w:szCs w:val="20"/>
        </w:rPr>
      </w:pPr>
    </w:p>
    <w:p w:rsidR="00A56EB8" w:rsidRPr="00FE5415" w:rsidRDefault="00A56EB8" w:rsidP="00FC74D8">
      <w:pPr>
        <w:spacing w:line="240" w:lineRule="auto"/>
        <w:rPr>
          <w:rFonts w:ascii="Times New Roman" w:hAnsi="Times New Roman" w:cs="Times New Roman"/>
          <w:b/>
          <w:sz w:val="20"/>
          <w:szCs w:val="20"/>
        </w:rPr>
      </w:pPr>
      <w:r w:rsidRPr="00FE5415">
        <w:rPr>
          <w:rFonts w:ascii="Times New Roman" w:hAnsi="Times New Roman" w:cs="Times New Roman"/>
          <w:b/>
          <w:sz w:val="20"/>
          <w:szCs w:val="20"/>
        </w:rPr>
        <w:t>Editing of Mobility Status</w:t>
      </w:r>
    </w:p>
    <w:p w:rsidR="00B53C84" w:rsidRPr="00FE5415" w:rsidRDefault="00A56EB8"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Migration d</w:t>
      </w:r>
      <w:r w:rsidR="0010419D" w:rsidRPr="00FE5415">
        <w:rPr>
          <w:rFonts w:ascii="Times New Roman" w:hAnsi="Times New Roman" w:cs="Times New Roman"/>
          <w:sz w:val="20"/>
          <w:szCs w:val="20"/>
        </w:rPr>
        <w:t>ata are edited in both</w:t>
      </w:r>
      <w:r w:rsidR="00337DF0">
        <w:rPr>
          <w:rFonts w:ascii="Times New Roman" w:hAnsi="Times New Roman" w:cs="Times New Roman"/>
          <w:sz w:val="20"/>
          <w:szCs w:val="20"/>
        </w:rPr>
        <w:t xml:space="preserve"> the</w:t>
      </w:r>
      <w:r w:rsidR="0010419D" w:rsidRPr="00FE5415">
        <w:rPr>
          <w:rFonts w:ascii="Times New Roman" w:hAnsi="Times New Roman" w:cs="Times New Roman"/>
          <w:sz w:val="20"/>
          <w:szCs w:val="20"/>
        </w:rPr>
        <w:t xml:space="preserve"> </w:t>
      </w:r>
      <w:r w:rsidRPr="00FE5415">
        <w:rPr>
          <w:rFonts w:ascii="Times New Roman" w:hAnsi="Times New Roman" w:cs="Times New Roman"/>
          <w:sz w:val="20"/>
          <w:szCs w:val="20"/>
        </w:rPr>
        <w:t xml:space="preserve">ACS and </w:t>
      </w:r>
      <w:r w:rsidR="00337DF0">
        <w:rPr>
          <w:rFonts w:ascii="Times New Roman" w:hAnsi="Times New Roman" w:cs="Times New Roman"/>
          <w:sz w:val="20"/>
          <w:szCs w:val="20"/>
        </w:rPr>
        <w:t xml:space="preserve">the </w:t>
      </w:r>
      <w:r w:rsidRPr="00FE5415">
        <w:rPr>
          <w:rFonts w:ascii="Times New Roman" w:hAnsi="Times New Roman" w:cs="Times New Roman"/>
          <w:sz w:val="20"/>
          <w:szCs w:val="20"/>
        </w:rPr>
        <w:t xml:space="preserve">ASEC for missing values and inconsistencies. In the </w:t>
      </w:r>
      <w:r w:rsidR="00124903" w:rsidRPr="00FE5415">
        <w:rPr>
          <w:rFonts w:ascii="Times New Roman" w:hAnsi="Times New Roman" w:cs="Times New Roman"/>
          <w:sz w:val="20"/>
          <w:szCs w:val="20"/>
        </w:rPr>
        <w:t xml:space="preserve">edit </w:t>
      </w:r>
      <w:r w:rsidRPr="00FE5415">
        <w:rPr>
          <w:rFonts w:ascii="Times New Roman" w:hAnsi="Times New Roman" w:cs="Times New Roman"/>
          <w:sz w:val="20"/>
          <w:szCs w:val="20"/>
        </w:rPr>
        <w:t xml:space="preserve">hierarchy, mobility status is </w:t>
      </w:r>
      <w:r w:rsidR="006831D4" w:rsidRPr="00FE5415">
        <w:rPr>
          <w:rFonts w:ascii="Times New Roman" w:hAnsi="Times New Roman" w:cs="Times New Roman"/>
          <w:sz w:val="20"/>
          <w:szCs w:val="20"/>
        </w:rPr>
        <w:t>the first migration item edited, followed by residence 1 year ago. I</w:t>
      </w:r>
      <w:r w:rsidRPr="00FE5415">
        <w:rPr>
          <w:rFonts w:ascii="Times New Roman" w:hAnsi="Times New Roman" w:cs="Times New Roman"/>
          <w:sz w:val="20"/>
          <w:szCs w:val="20"/>
        </w:rPr>
        <w:t xml:space="preserve">n the case of </w:t>
      </w:r>
      <w:r w:rsidR="00C04E25" w:rsidRPr="00FE5415">
        <w:rPr>
          <w:rFonts w:ascii="Times New Roman" w:hAnsi="Times New Roman" w:cs="Times New Roman"/>
          <w:sz w:val="20"/>
          <w:szCs w:val="20"/>
        </w:rPr>
        <w:t>ASEC</w:t>
      </w:r>
      <w:r w:rsidRPr="00FE5415">
        <w:rPr>
          <w:rFonts w:ascii="Times New Roman" w:hAnsi="Times New Roman" w:cs="Times New Roman"/>
          <w:sz w:val="20"/>
          <w:szCs w:val="20"/>
        </w:rPr>
        <w:t>,</w:t>
      </w:r>
      <w:r w:rsidR="00C04E25" w:rsidRPr="00FE5415">
        <w:rPr>
          <w:rFonts w:ascii="Times New Roman" w:hAnsi="Times New Roman" w:cs="Times New Roman"/>
          <w:sz w:val="20"/>
          <w:szCs w:val="20"/>
        </w:rPr>
        <w:t xml:space="preserve"> </w:t>
      </w:r>
      <w:r w:rsidRPr="00FE5415">
        <w:rPr>
          <w:rFonts w:ascii="Times New Roman" w:hAnsi="Times New Roman" w:cs="Times New Roman"/>
          <w:sz w:val="20"/>
          <w:szCs w:val="20"/>
        </w:rPr>
        <w:t>reason for move</w:t>
      </w:r>
      <w:r w:rsidR="00B53C84" w:rsidRPr="00FE5415">
        <w:rPr>
          <w:rFonts w:ascii="Times New Roman" w:hAnsi="Times New Roman" w:cs="Times New Roman"/>
          <w:sz w:val="20"/>
          <w:szCs w:val="20"/>
        </w:rPr>
        <w:t xml:space="preserve"> is edited last</w:t>
      </w:r>
      <w:r w:rsidRPr="00FE5415">
        <w:rPr>
          <w:rFonts w:ascii="Times New Roman" w:hAnsi="Times New Roman" w:cs="Times New Roman"/>
          <w:sz w:val="20"/>
          <w:szCs w:val="20"/>
        </w:rPr>
        <w:t xml:space="preserve">. </w:t>
      </w:r>
    </w:p>
    <w:p w:rsidR="00A80801" w:rsidRPr="00FE5415" w:rsidRDefault="009C21FC"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 xml:space="preserve">In </w:t>
      </w:r>
      <w:r w:rsidR="00A625C2">
        <w:rPr>
          <w:rFonts w:ascii="Times New Roman" w:hAnsi="Times New Roman" w:cs="Times New Roman"/>
          <w:sz w:val="20"/>
          <w:szCs w:val="20"/>
        </w:rPr>
        <w:t xml:space="preserve">the </w:t>
      </w:r>
      <w:r w:rsidRPr="00FE5415">
        <w:rPr>
          <w:rFonts w:ascii="Times New Roman" w:hAnsi="Times New Roman" w:cs="Times New Roman"/>
          <w:sz w:val="20"/>
          <w:szCs w:val="20"/>
        </w:rPr>
        <w:t xml:space="preserve">ACS, group quarters </w:t>
      </w:r>
      <w:r w:rsidR="00A625C2">
        <w:rPr>
          <w:rFonts w:ascii="Times New Roman" w:hAnsi="Times New Roman" w:cs="Times New Roman"/>
          <w:sz w:val="20"/>
          <w:szCs w:val="20"/>
        </w:rPr>
        <w:t xml:space="preserve">data </w:t>
      </w:r>
      <w:r w:rsidRPr="00FE5415">
        <w:rPr>
          <w:rFonts w:ascii="Times New Roman" w:hAnsi="Times New Roman" w:cs="Times New Roman"/>
          <w:sz w:val="20"/>
          <w:szCs w:val="20"/>
        </w:rPr>
        <w:t>are edited separately from housing units for migration.</w:t>
      </w:r>
      <w:r w:rsidR="00D94940" w:rsidRPr="00FE5415">
        <w:rPr>
          <w:rStyle w:val="FootnoteReference"/>
          <w:rFonts w:ascii="Times New Roman" w:hAnsi="Times New Roman" w:cs="Times New Roman"/>
          <w:sz w:val="20"/>
          <w:szCs w:val="20"/>
        </w:rPr>
        <w:footnoteReference w:id="38"/>
      </w:r>
      <w:r w:rsidRPr="00FE5415">
        <w:rPr>
          <w:rFonts w:ascii="Times New Roman" w:hAnsi="Times New Roman" w:cs="Times New Roman"/>
          <w:sz w:val="20"/>
          <w:szCs w:val="20"/>
        </w:rPr>
        <w:t xml:space="preserve"> </w:t>
      </w:r>
      <w:r w:rsidR="00D94940" w:rsidRPr="00FE5415">
        <w:rPr>
          <w:rFonts w:ascii="Times New Roman" w:hAnsi="Times New Roman" w:cs="Times New Roman"/>
          <w:sz w:val="20"/>
          <w:szCs w:val="20"/>
        </w:rPr>
        <w:t xml:space="preserve">Two components of the housing unit edits for migration, household relationship and housing questions, are not asked </w:t>
      </w:r>
      <w:r w:rsidR="000D0F19" w:rsidRPr="00FE5415">
        <w:rPr>
          <w:rFonts w:ascii="Times New Roman" w:hAnsi="Times New Roman" w:cs="Times New Roman"/>
          <w:sz w:val="20"/>
          <w:szCs w:val="20"/>
        </w:rPr>
        <w:t>of</w:t>
      </w:r>
      <w:r w:rsidR="00D94940" w:rsidRPr="00FE5415">
        <w:rPr>
          <w:rFonts w:ascii="Times New Roman" w:hAnsi="Times New Roman" w:cs="Times New Roman"/>
          <w:sz w:val="20"/>
          <w:szCs w:val="20"/>
        </w:rPr>
        <w:t xml:space="preserve"> persons living in group quarters</w:t>
      </w:r>
      <w:r w:rsidR="00414A59">
        <w:rPr>
          <w:rFonts w:ascii="Times New Roman" w:hAnsi="Times New Roman" w:cs="Times New Roman"/>
          <w:sz w:val="20"/>
          <w:szCs w:val="20"/>
        </w:rPr>
        <w:t>.</w:t>
      </w:r>
      <w:r w:rsidR="00D94940" w:rsidRPr="00FE5415">
        <w:rPr>
          <w:rFonts w:ascii="Times New Roman" w:hAnsi="Times New Roman" w:cs="Times New Roman"/>
          <w:sz w:val="20"/>
          <w:szCs w:val="20"/>
        </w:rPr>
        <w:t xml:space="preserve"> </w:t>
      </w:r>
      <w:r w:rsidR="00414A59">
        <w:rPr>
          <w:rFonts w:ascii="Times New Roman" w:hAnsi="Times New Roman" w:cs="Times New Roman"/>
          <w:sz w:val="20"/>
          <w:szCs w:val="20"/>
        </w:rPr>
        <w:t>T</w:t>
      </w:r>
      <w:r w:rsidR="00D94940" w:rsidRPr="00FE5415">
        <w:rPr>
          <w:rFonts w:ascii="Times New Roman" w:hAnsi="Times New Roman" w:cs="Times New Roman"/>
          <w:sz w:val="20"/>
          <w:szCs w:val="20"/>
        </w:rPr>
        <w:t xml:space="preserve">herefore, </w:t>
      </w:r>
      <w:r w:rsidR="00414A59">
        <w:rPr>
          <w:rFonts w:ascii="Times New Roman" w:hAnsi="Times New Roman" w:cs="Times New Roman"/>
          <w:sz w:val="20"/>
          <w:szCs w:val="20"/>
        </w:rPr>
        <w:t>these components</w:t>
      </w:r>
      <w:r w:rsidR="00414A59" w:rsidRPr="00FE5415">
        <w:rPr>
          <w:rFonts w:ascii="Times New Roman" w:hAnsi="Times New Roman" w:cs="Times New Roman"/>
          <w:sz w:val="20"/>
          <w:szCs w:val="20"/>
        </w:rPr>
        <w:t xml:space="preserve"> </w:t>
      </w:r>
      <w:r w:rsidR="00D94940" w:rsidRPr="00FE5415">
        <w:rPr>
          <w:rFonts w:ascii="Times New Roman" w:hAnsi="Times New Roman" w:cs="Times New Roman"/>
          <w:sz w:val="20"/>
          <w:szCs w:val="20"/>
        </w:rPr>
        <w:t xml:space="preserve">cannot be used in the edit imputation process for GQs. </w:t>
      </w:r>
    </w:p>
    <w:p w:rsidR="00F83CBE" w:rsidRPr="00FE5415" w:rsidRDefault="00A605A6"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 xml:space="preserve">Since the main topic of the paper is differences between the surveys as it relates to the mover rate, this section is limited to the mobility status edit. </w:t>
      </w:r>
      <w:r w:rsidR="007C6F2C" w:rsidRPr="00FE5415">
        <w:rPr>
          <w:rFonts w:ascii="Times New Roman" w:hAnsi="Times New Roman" w:cs="Times New Roman"/>
          <w:sz w:val="20"/>
          <w:szCs w:val="20"/>
        </w:rPr>
        <w:t>For both surveys, if a person age 1 year and over reported they lived in the same house 1 year ago, then the reported mobility status is kept</w:t>
      </w:r>
      <w:r w:rsidR="00865B0D">
        <w:rPr>
          <w:rFonts w:ascii="Times New Roman" w:hAnsi="Times New Roman" w:cs="Times New Roman"/>
          <w:sz w:val="20"/>
          <w:szCs w:val="20"/>
        </w:rPr>
        <w:t>,</w:t>
      </w:r>
      <w:r w:rsidR="007C6F2C" w:rsidRPr="00FE5415">
        <w:rPr>
          <w:rFonts w:ascii="Times New Roman" w:hAnsi="Times New Roman" w:cs="Times New Roman"/>
          <w:sz w:val="20"/>
          <w:szCs w:val="20"/>
        </w:rPr>
        <w:t xml:space="preserve"> regardless of </w:t>
      </w:r>
      <w:r w:rsidR="00CE3BF7" w:rsidRPr="00FE5415">
        <w:rPr>
          <w:rFonts w:ascii="Times New Roman" w:hAnsi="Times New Roman" w:cs="Times New Roman"/>
          <w:sz w:val="20"/>
          <w:szCs w:val="20"/>
        </w:rPr>
        <w:t xml:space="preserve">whether residence 1 year ago </w:t>
      </w:r>
      <w:r w:rsidR="007C6F2C" w:rsidRPr="00FE5415">
        <w:rPr>
          <w:rFonts w:ascii="Times New Roman" w:hAnsi="Times New Roman" w:cs="Times New Roman"/>
          <w:sz w:val="20"/>
          <w:szCs w:val="20"/>
        </w:rPr>
        <w:t xml:space="preserve">is reported </w:t>
      </w:r>
      <w:r w:rsidR="00CE3BF7" w:rsidRPr="00FE5415">
        <w:rPr>
          <w:rFonts w:ascii="Times New Roman" w:hAnsi="Times New Roman" w:cs="Times New Roman"/>
          <w:sz w:val="20"/>
          <w:szCs w:val="20"/>
        </w:rPr>
        <w:t>or not</w:t>
      </w:r>
      <w:r w:rsidR="007C6F2C" w:rsidRPr="00FE5415">
        <w:rPr>
          <w:rFonts w:ascii="Times New Roman" w:hAnsi="Times New Roman" w:cs="Times New Roman"/>
          <w:sz w:val="20"/>
          <w:szCs w:val="20"/>
        </w:rPr>
        <w:t xml:space="preserve">. If mobility </w:t>
      </w:r>
      <w:r w:rsidR="002D2D58" w:rsidRPr="00FE5415">
        <w:rPr>
          <w:rFonts w:ascii="Times New Roman" w:hAnsi="Times New Roman" w:cs="Times New Roman"/>
          <w:sz w:val="20"/>
          <w:szCs w:val="20"/>
        </w:rPr>
        <w:t xml:space="preserve">status </w:t>
      </w:r>
      <w:r w:rsidR="007C6F2C" w:rsidRPr="00FE5415">
        <w:rPr>
          <w:rFonts w:ascii="Times New Roman" w:hAnsi="Times New Roman" w:cs="Times New Roman"/>
          <w:sz w:val="20"/>
          <w:szCs w:val="20"/>
        </w:rPr>
        <w:t xml:space="preserve">is reported as different house in the </w:t>
      </w:r>
      <w:r w:rsidR="00865B0D">
        <w:rPr>
          <w:rFonts w:ascii="Times New Roman" w:hAnsi="Times New Roman" w:cs="Times New Roman"/>
          <w:sz w:val="20"/>
          <w:szCs w:val="20"/>
        </w:rPr>
        <w:t>United States</w:t>
      </w:r>
      <w:r w:rsidR="007C6F2C" w:rsidRPr="00FE5415">
        <w:rPr>
          <w:rFonts w:ascii="Times New Roman" w:hAnsi="Times New Roman" w:cs="Times New Roman"/>
          <w:sz w:val="20"/>
          <w:szCs w:val="20"/>
        </w:rPr>
        <w:t xml:space="preserve"> or different house outside the </w:t>
      </w:r>
      <w:r w:rsidR="00910CDB">
        <w:rPr>
          <w:rFonts w:ascii="Times New Roman" w:hAnsi="Times New Roman" w:cs="Times New Roman"/>
          <w:sz w:val="20"/>
          <w:szCs w:val="20"/>
        </w:rPr>
        <w:t>United States</w:t>
      </w:r>
      <w:r w:rsidR="007C6F2C" w:rsidRPr="00FE5415">
        <w:rPr>
          <w:rFonts w:ascii="Times New Roman" w:hAnsi="Times New Roman" w:cs="Times New Roman"/>
          <w:sz w:val="20"/>
          <w:szCs w:val="20"/>
        </w:rPr>
        <w:t xml:space="preserve"> and </w:t>
      </w:r>
      <w:r w:rsidR="00F83CBE" w:rsidRPr="00FE5415">
        <w:rPr>
          <w:rFonts w:ascii="Times New Roman" w:hAnsi="Times New Roman" w:cs="Times New Roman"/>
          <w:sz w:val="20"/>
          <w:szCs w:val="20"/>
        </w:rPr>
        <w:t>it is inconsisten</w:t>
      </w:r>
      <w:r w:rsidR="006F0205" w:rsidRPr="00FE5415">
        <w:rPr>
          <w:rFonts w:ascii="Times New Roman" w:hAnsi="Times New Roman" w:cs="Times New Roman"/>
          <w:sz w:val="20"/>
          <w:szCs w:val="20"/>
        </w:rPr>
        <w:t>t</w:t>
      </w:r>
      <w:r w:rsidR="00F83CBE" w:rsidRPr="00FE5415">
        <w:rPr>
          <w:rFonts w:ascii="Times New Roman" w:hAnsi="Times New Roman" w:cs="Times New Roman"/>
          <w:sz w:val="20"/>
          <w:szCs w:val="20"/>
        </w:rPr>
        <w:t xml:space="preserve"> with what is report</w:t>
      </w:r>
      <w:r w:rsidR="002D2D58" w:rsidRPr="00FE5415">
        <w:rPr>
          <w:rFonts w:ascii="Times New Roman" w:hAnsi="Times New Roman" w:cs="Times New Roman"/>
          <w:sz w:val="20"/>
          <w:szCs w:val="20"/>
        </w:rPr>
        <w:t>ed</w:t>
      </w:r>
      <w:r w:rsidR="00F83CBE" w:rsidRPr="00FE5415">
        <w:rPr>
          <w:rFonts w:ascii="Times New Roman" w:hAnsi="Times New Roman" w:cs="Times New Roman"/>
          <w:sz w:val="20"/>
          <w:szCs w:val="20"/>
        </w:rPr>
        <w:t xml:space="preserve"> for residence 1 year ago, the mobility status is changed to agree with residence 1 year ago.</w:t>
      </w:r>
    </w:p>
    <w:p w:rsidR="00A56EB8" w:rsidRPr="00FE5415" w:rsidRDefault="00F83CBE" w:rsidP="00FC74D8">
      <w:pPr>
        <w:spacing w:line="240" w:lineRule="auto"/>
        <w:rPr>
          <w:rFonts w:ascii="Times New Roman" w:hAnsi="Times New Roman" w:cs="Times New Roman"/>
          <w:sz w:val="20"/>
          <w:szCs w:val="20"/>
        </w:rPr>
      </w:pPr>
      <w:r w:rsidRPr="00FE5415">
        <w:rPr>
          <w:rFonts w:ascii="Times New Roman" w:hAnsi="Times New Roman" w:cs="Times New Roman"/>
          <w:sz w:val="20"/>
          <w:szCs w:val="20"/>
        </w:rPr>
        <w:t>In the case of missing</w:t>
      </w:r>
      <w:r w:rsidR="009F2C8C" w:rsidRPr="00FE5415">
        <w:rPr>
          <w:rFonts w:ascii="Times New Roman" w:hAnsi="Times New Roman" w:cs="Times New Roman"/>
          <w:sz w:val="20"/>
          <w:szCs w:val="20"/>
        </w:rPr>
        <w:t xml:space="preserve"> values</w:t>
      </w:r>
      <w:r w:rsidR="005D1F58" w:rsidRPr="00FE5415">
        <w:rPr>
          <w:rFonts w:ascii="Times New Roman" w:hAnsi="Times New Roman" w:cs="Times New Roman"/>
          <w:sz w:val="20"/>
          <w:szCs w:val="20"/>
        </w:rPr>
        <w:t xml:space="preserve">, the </w:t>
      </w:r>
      <w:r w:rsidR="0010419D" w:rsidRPr="00FE5415">
        <w:rPr>
          <w:rFonts w:ascii="Times New Roman" w:hAnsi="Times New Roman" w:cs="Times New Roman"/>
          <w:sz w:val="20"/>
          <w:szCs w:val="20"/>
        </w:rPr>
        <w:t xml:space="preserve">ACS  and ASEC edits sort households </w:t>
      </w:r>
      <w:r w:rsidR="009F2C8C" w:rsidRPr="00FE5415">
        <w:rPr>
          <w:rFonts w:ascii="Times New Roman" w:hAnsi="Times New Roman" w:cs="Times New Roman"/>
          <w:sz w:val="20"/>
          <w:szCs w:val="20"/>
        </w:rPr>
        <w:t xml:space="preserve">in the following order: </w:t>
      </w:r>
      <w:r w:rsidR="0010419D" w:rsidRPr="00FE5415">
        <w:rPr>
          <w:rFonts w:ascii="Times New Roman" w:hAnsi="Times New Roman" w:cs="Times New Roman"/>
          <w:sz w:val="20"/>
          <w:szCs w:val="20"/>
        </w:rPr>
        <w:t>first by reference person</w:t>
      </w:r>
      <w:r w:rsidR="009F2C8C" w:rsidRPr="00FE5415">
        <w:rPr>
          <w:rFonts w:ascii="Times New Roman" w:hAnsi="Times New Roman" w:cs="Times New Roman"/>
          <w:sz w:val="20"/>
          <w:szCs w:val="20"/>
        </w:rPr>
        <w:t>;</w:t>
      </w:r>
      <w:r w:rsidR="0010419D" w:rsidRPr="00FE5415">
        <w:rPr>
          <w:rFonts w:ascii="Times New Roman" w:hAnsi="Times New Roman" w:cs="Times New Roman"/>
          <w:sz w:val="20"/>
          <w:szCs w:val="20"/>
        </w:rPr>
        <w:t xml:space="preserve"> second by spouse of reference person</w:t>
      </w:r>
      <w:r w:rsidR="009F2C8C" w:rsidRPr="00FE5415">
        <w:rPr>
          <w:rFonts w:ascii="Times New Roman" w:hAnsi="Times New Roman" w:cs="Times New Roman"/>
          <w:sz w:val="20"/>
          <w:szCs w:val="20"/>
        </w:rPr>
        <w:t>;</w:t>
      </w:r>
      <w:r w:rsidR="0010419D" w:rsidRPr="00FE5415">
        <w:rPr>
          <w:rFonts w:ascii="Times New Roman" w:hAnsi="Times New Roman" w:cs="Times New Roman"/>
          <w:sz w:val="20"/>
          <w:szCs w:val="20"/>
        </w:rPr>
        <w:t xml:space="preserve"> th</w:t>
      </w:r>
      <w:r w:rsidR="009F2C8C" w:rsidRPr="00FE5415">
        <w:rPr>
          <w:rFonts w:ascii="Times New Roman" w:hAnsi="Times New Roman" w:cs="Times New Roman"/>
          <w:sz w:val="20"/>
          <w:szCs w:val="20"/>
        </w:rPr>
        <w:t>ird</w:t>
      </w:r>
      <w:r w:rsidR="0010419D" w:rsidRPr="00FE5415">
        <w:rPr>
          <w:rFonts w:ascii="Times New Roman" w:hAnsi="Times New Roman" w:cs="Times New Roman"/>
          <w:sz w:val="20"/>
          <w:szCs w:val="20"/>
        </w:rPr>
        <w:t xml:space="preserve"> by children </w:t>
      </w:r>
      <w:r w:rsidR="00541941" w:rsidRPr="00FE5415">
        <w:rPr>
          <w:rFonts w:ascii="Times New Roman" w:hAnsi="Times New Roman" w:cs="Times New Roman"/>
          <w:sz w:val="20"/>
          <w:szCs w:val="20"/>
        </w:rPr>
        <w:t xml:space="preserve">of the householder, whether birth, adopted, or step, </w:t>
      </w:r>
      <w:r w:rsidR="0010419D" w:rsidRPr="00FE5415">
        <w:rPr>
          <w:rFonts w:ascii="Times New Roman" w:hAnsi="Times New Roman" w:cs="Times New Roman"/>
          <w:sz w:val="20"/>
          <w:szCs w:val="20"/>
        </w:rPr>
        <w:t>in descending order</w:t>
      </w:r>
      <w:r w:rsidR="009F2C8C" w:rsidRPr="00FE5415">
        <w:rPr>
          <w:rFonts w:ascii="Times New Roman" w:hAnsi="Times New Roman" w:cs="Times New Roman"/>
          <w:sz w:val="20"/>
          <w:szCs w:val="20"/>
        </w:rPr>
        <w:t>;</w:t>
      </w:r>
      <w:r w:rsidR="0010419D" w:rsidRPr="00FE5415">
        <w:rPr>
          <w:rFonts w:ascii="Times New Roman" w:hAnsi="Times New Roman" w:cs="Times New Roman"/>
          <w:sz w:val="20"/>
          <w:szCs w:val="20"/>
        </w:rPr>
        <w:t xml:space="preserve"> and finally all other persons</w:t>
      </w:r>
      <w:r w:rsidR="009D6EE6" w:rsidRPr="00FE5415">
        <w:rPr>
          <w:rFonts w:ascii="Times New Roman" w:hAnsi="Times New Roman" w:cs="Times New Roman"/>
          <w:sz w:val="20"/>
          <w:szCs w:val="20"/>
        </w:rPr>
        <w:t xml:space="preserve"> in the household</w:t>
      </w:r>
      <w:r w:rsidR="0010419D" w:rsidRPr="00FE5415">
        <w:rPr>
          <w:rFonts w:ascii="Times New Roman" w:hAnsi="Times New Roman" w:cs="Times New Roman"/>
          <w:sz w:val="20"/>
          <w:szCs w:val="20"/>
        </w:rPr>
        <w:t xml:space="preserve">. </w:t>
      </w:r>
      <w:r w:rsidR="005D1F58" w:rsidRPr="00FE5415">
        <w:rPr>
          <w:rFonts w:ascii="Times New Roman" w:hAnsi="Times New Roman" w:cs="Times New Roman"/>
          <w:sz w:val="20"/>
          <w:szCs w:val="20"/>
        </w:rPr>
        <w:t xml:space="preserve"> </w:t>
      </w:r>
    </w:p>
    <w:p w:rsidR="0006154D" w:rsidRPr="00FE5415" w:rsidRDefault="00E174A6"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For </w:t>
      </w:r>
      <w:r w:rsidR="009F2C8C" w:rsidRPr="00FE5415">
        <w:rPr>
          <w:rFonts w:ascii="Times New Roman" w:hAnsi="Times New Roman" w:cs="Times New Roman"/>
          <w:sz w:val="20"/>
          <w:szCs w:val="20"/>
        </w:rPr>
        <w:t>ASEC</w:t>
      </w:r>
      <w:r w:rsidRPr="00FE5415">
        <w:rPr>
          <w:rFonts w:ascii="Times New Roman" w:hAnsi="Times New Roman" w:cs="Times New Roman"/>
          <w:sz w:val="20"/>
          <w:szCs w:val="20"/>
        </w:rPr>
        <w:t>, i</w:t>
      </w:r>
      <w:r w:rsidR="0006154D" w:rsidRPr="00FE5415">
        <w:rPr>
          <w:rFonts w:ascii="Times New Roman" w:hAnsi="Times New Roman" w:cs="Times New Roman"/>
          <w:sz w:val="20"/>
          <w:szCs w:val="20"/>
        </w:rPr>
        <w:t xml:space="preserve">f the reference person’s mobility status is missing, </w:t>
      </w:r>
      <w:r w:rsidRPr="00FE5415">
        <w:rPr>
          <w:rFonts w:ascii="Times New Roman" w:hAnsi="Times New Roman" w:cs="Times New Roman"/>
          <w:sz w:val="20"/>
          <w:szCs w:val="20"/>
        </w:rPr>
        <w:t xml:space="preserve">then the </w:t>
      </w:r>
      <w:r w:rsidR="00AA0EB2" w:rsidRPr="00FE5415">
        <w:rPr>
          <w:rFonts w:ascii="Times New Roman" w:hAnsi="Times New Roman" w:cs="Times New Roman"/>
          <w:sz w:val="20"/>
          <w:szCs w:val="20"/>
        </w:rPr>
        <w:t>reported status of the spouse is used, if a spouse is present.</w:t>
      </w:r>
      <w:r w:rsidRPr="00FE5415">
        <w:rPr>
          <w:rFonts w:ascii="Times New Roman" w:hAnsi="Times New Roman" w:cs="Times New Roman"/>
          <w:sz w:val="20"/>
          <w:szCs w:val="20"/>
        </w:rPr>
        <w:t xml:space="preserve"> If </w:t>
      </w:r>
      <w:r w:rsidR="004E1106" w:rsidRPr="00FE5415">
        <w:rPr>
          <w:rFonts w:ascii="Times New Roman" w:hAnsi="Times New Roman" w:cs="Times New Roman"/>
          <w:sz w:val="20"/>
          <w:szCs w:val="20"/>
        </w:rPr>
        <w:t xml:space="preserve">the spouse’s status is </w:t>
      </w:r>
      <w:r w:rsidRPr="00FE5415">
        <w:rPr>
          <w:rFonts w:ascii="Times New Roman" w:hAnsi="Times New Roman" w:cs="Times New Roman"/>
          <w:sz w:val="20"/>
          <w:szCs w:val="20"/>
        </w:rPr>
        <w:t>not</w:t>
      </w:r>
      <w:r w:rsidR="004E1106" w:rsidRPr="00FE5415">
        <w:rPr>
          <w:rFonts w:ascii="Times New Roman" w:hAnsi="Times New Roman" w:cs="Times New Roman"/>
          <w:sz w:val="20"/>
          <w:szCs w:val="20"/>
        </w:rPr>
        <w:t xml:space="preserve"> reported</w:t>
      </w:r>
      <w:r w:rsidRPr="00FE5415">
        <w:rPr>
          <w:rFonts w:ascii="Times New Roman" w:hAnsi="Times New Roman" w:cs="Times New Roman"/>
          <w:sz w:val="20"/>
          <w:szCs w:val="20"/>
        </w:rPr>
        <w:t xml:space="preserve">, then the </w:t>
      </w:r>
      <w:r w:rsidR="00546D01" w:rsidRPr="00FE5415">
        <w:rPr>
          <w:rFonts w:ascii="Times New Roman" w:hAnsi="Times New Roman" w:cs="Times New Roman"/>
          <w:sz w:val="20"/>
          <w:szCs w:val="20"/>
        </w:rPr>
        <w:t xml:space="preserve">reported </w:t>
      </w:r>
      <w:r w:rsidRPr="00FE5415">
        <w:rPr>
          <w:rFonts w:ascii="Times New Roman" w:hAnsi="Times New Roman" w:cs="Times New Roman"/>
          <w:sz w:val="20"/>
          <w:szCs w:val="20"/>
        </w:rPr>
        <w:t>mobility status</w:t>
      </w:r>
      <w:r w:rsidR="005A2B3A" w:rsidRPr="00FE5415">
        <w:rPr>
          <w:rFonts w:ascii="Times New Roman" w:hAnsi="Times New Roman" w:cs="Times New Roman"/>
          <w:sz w:val="20"/>
          <w:szCs w:val="20"/>
        </w:rPr>
        <w:t xml:space="preserve"> of </w:t>
      </w:r>
      <w:r w:rsidRPr="00FE5415">
        <w:rPr>
          <w:rFonts w:ascii="Times New Roman" w:hAnsi="Times New Roman" w:cs="Times New Roman"/>
          <w:sz w:val="20"/>
          <w:szCs w:val="20"/>
        </w:rPr>
        <w:t>any child of the</w:t>
      </w:r>
      <w:r w:rsidR="00541941" w:rsidRPr="00FE5415">
        <w:rPr>
          <w:rFonts w:ascii="Times New Roman" w:hAnsi="Times New Roman" w:cs="Times New Roman"/>
          <w:sz w:val="20"/>
          <w:szCs w:val="20"/>
        </w:rPr>
        <w:t xml:space="preserve"> householder </w:t>
      </w:r>
      <w:r w:rsidR="009C37EC" w:rsidRPr="00FE5415">
        <w:rPr>
          <w:rFonts w:ascii="Times New Roman" w:hAnsi="Times New Roman" w:cs="Times New Roman"/>
          <w:sz w:val="20"/>
          <w:szCs w:val="20"/>
        </w:rPr>
        <w:t xml:space="preserve">under age 15 </w:t>
      </w:r>
      <w:r w:rsidR="00546D01" w:rsidRPr="00FE5415">
        <w:rPr>
          <w:rFonts w:ascii="Times New Roman" w:hAnsi="Times New Roman" w:cs="Times New Roman"/>
          <w:sz w:val="20"/>
          <w:szCs w:val="20"/>
        </w:rPr>
        <w:t>is used</w:t>
      </w:r>
      <w:r w:rsidR="00197A1E" w:rsidRPr="00FE5415">
        <w:rPr>
          <w:rFonts w:ascii="Times New Roman" w:hAnsi="Times New Roman" w:cs="Times New Roman"/>
          <w:sz w:val="20"/>
          <w:szCs w:val="20"/>
        </w:rPr>
        <w:t>,</w:t>
      </w:r>
      <w:r w:rsidR="00546D01" w:rsidRPr="00FE5415">
        <w:rPr>
          <w:rFonts w:ascii="Times New Roman" w:hAnsi="Times New Roman" w:cs="Times New Roman"/>
          <w:sz w:val="20"/>
          <w:szCs w:val="20"/>
        </w:rPr>
        <w:t xml:space="preserve"> </w:t>
      </w:r>
      <w:r w:rsidR="00541941" w:rsidRPr="00FE5415">
        <w:rPr>
          <w:rFonts w:ascii="Times New Roman" w:hAnsi="Times New Roman" w:cs="Times New Roman"/>
          <w:sz w:val="20"/>
          <w:szCs w:val="20"/>
        </w:rPr>
        <w:t>starting with the youngest.  If there is still no donor for the householder, then the value is allocated using an imputation matrix</w:t>
      </w:r>
      <w:r w:rsidR="005A2B3A" w:rsidRPr="00FE5415">
        <w:rPr>
          <w:rFonts w:ascii="Times New Roman" w:hAnsi="Times New Roman" w:cs="Times New Roman"/>
          <w:sz w:val="20"/>
          <w:szCs w:val="20"/>
        </w:rPr>
        <w:t>.</w:t>
      </w:r>
      <w:r w:rsidR="005A2B3A" w:rsidRPr="00FE5415">
        <w:rPr>
          <w:rStyle w:val="FootnoteReference"/>
          <w:rFonts w:ascii="Times New Roman" w:hAnsi="Times New Roman" w:cs="Times New Roman"/>
          <w:sz w:val="20"/>
          <w:szCs w:val="20"/>
        </w:rPr>
        <w:footnoteReference w:id="39"/>
      </w:r>
      <w:r w:rsidR="00541941" w:rsidRPr="00FE5415">
        <w:rPr>
          <w:rFonts w:ascii="Times New Roman" w:hAnsi="Times New Roman" w:cs="Times New Roman"/>
          <w:sz w:val="20"/>
          <w:szCs w:val="20"/>
        </w:rPr>
        <w:t xml:space="preserve"> </w:t>
      </w:r>
      <w:r w:rsidR="009C37EC" w:rsidRPr="00FE5415">
        <w:rPr>
          <w:rFonts w:ascii="Times New Roman" w:hAnsi="Times New Roman" w:cs="Times New Roman"/>
          <w:sz w:val="20"/>
          <w:szCs w:val="20"/>
        </w:rPr>
        <w:t>Missing values for the spouse and children under age 15 are allocated using the householder’s mobility status whether reported or assigned. Other household members with missing mobility status</w:t>
      </w:r>
      <w:r w:rsidR="006A3F2E" w:rsidRPr="00FE5415">
        <w:rPr>
          <w:rFonts w:ascii="Times New Roman" w:hAnsi="Times New Roman" w:cs="Times New Roman"/>
          <w:sz w:val="20"/>
          <w:szCs w:val="20"/>
        </w:rPr>
        <w:t>es</w:t>
      </w:r>
      <w:r w:rsidR="009C37EC" w:rsidRPr="00FE5415">
        <w:rPr>
          <w:rFonts w:ascii="Times New Roman" w:hAnsi="Times New Roman" w:cs="Times New Roman"/>
          <w:sz w:val="20"/>
          <w:szCs w:val="20"/>
        </w:rPr>
        <w:t xml:space="preserve"> are allocated using the imputation matrix.</w:t>
      </w:r>
    </w:p>
    <w:p w:rsidR="00A80801" w:rsidRPr="00FE5415" w:rsidRDefault="00A80801" w:rsidP="00FC74D8">
      <w:pPr>
        <w:spacing w:line="240" w:lineRule="auto"/>
        <w:contextualSpacing/>
        <w:rPr>
          <w:rFonts w:ascii="Times New Roman" w:hAnsi="Times New Roman" w:cs="Times New Roman"/>
          <w:sz w:val="20"/>
          <w:szCs w:val="20"/>
        </w:rPr>
      </w:pPr>
    </w:p>
    <w:p w:rsidR="0092271B" w:rsidRPr="00FE5415" w:rsidRDefault="00DB4058"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The edits applied to ACS data are slightly different</w:t>
      </w:r>
      <w:r w:rsidR="009C37EC" w:rsidRPr="00FE5415">
        <w:rPr>
          <w:rFonts w:ascii="Times New Roman" w:hAnsi="Times New Roman" w:cs="Times New Roman"/>
          <w:sz w:val="20"/>
          <w:szCs w:val="20"/>
        </w:rPr>
        <w:t xml:space="preserve">.  </w:t>
      </w:r>
      <w:r w:rsidR="009C1927" w:rsidRPr="00FE5415">
        <w:rPr>
          <w:rFonts w:ascii="Times New Roman" w:hAnsi="Times New Roman" w:cs="Times New Roman"/>
          <w:sz w:val="20"/>
          <w:szCs w:val="20"/>
        </w:rPr>
        <w:t>For householders with a missing mobility status,</w:t>
      </w:r>
      <w:r w:rsidRPr="00FE5415">
        <w:rPr>
          <w:rFonts w:ascii="Times New Roman" w:hAnsi="Times New Roman" w:cs="Times New Roman"/>
          <w:sz w:val="20"/>
          <w:szCs w:val="20"/>
        </w:rPr>
        <w:t xml:space="preserve"> the edit checks to see if the </w:t>
      </w:r>
      <w:r w:rsidR="00031C4D" w:rsidRPr="00FE5415">
        <w:rPr>
          <w:rFonts w:ascii="Times New Roman" w:hAnsi="Times New Roman" w:cs="Times New Roman"/>
          <w:sz w:val="20"/>
          <w:szCs w:val="20"/>
        </w:rPr>
        <w:t xml:space="preserve">unedited </w:t>
      </w:r>
      <w:r w:rsidRPr="00FE5415">
        <w:rPr>
          <w:rFonts w:ascii="Times New Roman" w:hAnsi="Times New Roman" w:cs="Times New Roman"/>
          <w:sz w:val="20"/>
          <w:szCs w:val="20"/>
        </w:rPr>
        <w:t xml:space="preserve">year and month moved into the house </w:t>
      </w:r>
      <w:r w:rsidR="00412508" w:rsidRPr="00FE5415">
        <w:rPr>
          <w:rFonts w:ascii="Times New Roman" w:hAnsi="Times New Roman" w:cs="Times New Roman"/>
          <w:sz w:val="20"/>
          <w:szCs w:val="20"/>
        </w:rPr>
        <w:t>values are</w:t>
      </w:r>
      <w:r w:rsidRPr="00FE5415">
        <w:rPr>
          <w:rFonts w:ascii="Times New Roman" w:hAnsi="Times New Roman" w:cs="Times New Roman"/>
          <w:sz w:val="20"/>
          <w:szCs w:val="20"/>
        </w:rPr>
        <w:t xml:space="preserve"> within the last 12 months. If so, then the householder is assigned a status of different house in the U</w:t>
      </w:r>
      <w:r w:rsidR="00C2199E" w:rsidRPr="00FE5415">
        <w:rPr>
          <w:rFonts w:ascii="Times New Roman" w:hAnsi="Times New Roman" w:cs="Times New Roman"/>
          <w:sz w:val="20"/>
          <w:szCs w:val="20"/>
        </w:rPr>
        <w:t>nited States</w:t>
      </w:r>
      <w:r w:rsidRPr="00FE5415">
        <w:rPr>
          <w:rFonts w:ascii="Times New Roman" w:hAnsi="Times New Roman" w:cs="Times New Roman"/>
          <w:sz w:val="20"/>
          <w:szCs w:val="20"/>
        </w:rPr>
        <w:t xml:space="preserve"> </w:t>
      </w:r>
      <w:r w:rsidR="00C2199E" w:rsidRPr="00FE5415">
        <w:rPr>
          <w:rFonts w:ascii="Times New Roman" w:hAnsi="Times New Roman" w:cs="Times New Roman"/>
          <w:sz w:val="20"/>
          <w:szCs w:val="20"/>
        </w:rPr>
        <w:t xml:space="preserve">or Puerto Rico </w:t>
      </w:r>
      <w:r w:rsidRPr="00FE5415">
        <w:rPr>
          <w:rFonts w:ascii="Times New Roman" w:hAnsi="Times New Roman" w:cs="Times New Roman"/>
          <w:sz w:val="20"/>
          <w:szCs w:val="20"/>
        </w:rPr>
        <w:t>1 year ago.</w:t>
      </w:r>
      <w:r w:rsidR="00EA457C" w:rsidRPr="00FE5415">
        <w:rPr>
          <w:rStyle w:val="FootnoteReference"/>
          <w:rFonts w:ascii="Times New Roman" w:hAnsi="Times New Roman" w:cs="Times New Roman"/>
          <w:sz w:val="20"/>
          <w:szCs w:val="20"/>
        </w:rPr>
        <w:footnoteReference w:id="40"/>
      </w:r>
      <w:r w:rsidRPr="00FE5415">
        <w:rPr>
          <w:rFonts w:ascii="Times New Roman" w:hAnsi="Times New Roman" w:cs="Times New Roman"/>
          <w:sz w:val="20"/>
          <w:szCs w:val="20"/>
        </w:rPr>
        <w:t xml:space="preserve"> </w:t>
      </w:r>
      <w:r w:rsidR="0092271B" w:rsidRPr="00FE5415">
        <w:rPr>
          <w:rFonts w:ascii="Times New Roman" w:hAnsi="Times New Roman" w:cs="Times New Roman"/>
          <w:sz w:val="20"/>
          <w:szCs w:val="20"/>
        </w:rPr>
        <w:t xml:space="preserve">Other differences include using other family members as donors for children up to age 18 rather than under 15 and </w:t>
      </w:r>
      <w:r w:rsidR="00316EFF">
        <w:rPr>
          <w:rFonts w:ascii="Times New Roman" w:hAnsi="Times New Roman" w:cs="Times New Roman"/>
          <w:sz w:val="20"/>
          <w:szCs w:val="20"/>
        </w:rPr>
        <w:t xml:space="preserve">using </w:t>
      </w:r>
      <w:r w:rsidR="0092271B" w:rsidRPr="00FE5415">
        <w:rPr>
          <w:rFonts w:ascii="Times New Roman" w:hAnsi="Times New Roman" w:cs="Times New Roman"/>
          <w:sz w:val="20"/>
          <w:szCs w:val="20"/>
        </w:rPr>
        <w:t>more dimensions for the imputation matrix because of the ACS’s larger sample size.</w:t>
      </w:r>
      <w:r w:rsidR="0092271B" w:rsidRPr="00FE5415">
        <w:rPr>
          <w:rStyle w:val="FootnoteReference"/>
          <w:rFonts w:ascii="Times New Roman" w:hAnsi="Times New Roman" w:cs="Times New Roman"/>
          <w:sz w:val="20"/>
          <w:szCs w:val="20"/>
        </w:rPr>
        <w:footnoteReference w:id="41"/>
      </w:r>
      <w:r w:rsidR="00C2199E" w:rsidRPr="00FE5415">
        <w:rPr>
          <w:rFonts w:ascii="Times New Roman" w:hAnsi="Times New Roman" w:cs="Times New Roman"/>
          <w:sz w:val="20"/>
          <w:szCs w:val="20"/>
        </w:rPr>
        <w:t xml:space="preserve">     </w:t>
      </w:r>
    </w:p>
    <w:p w:rsidR="00A80801" w:rsidRPr="00FE5415" w:rsidRDefault="00A80801" w:rsidP="00FC74D8">
      <w:pPr>
        <w:spacing w:line="240" w:lineRule="auto"/>
        <w:contextualSpacing/>
        <w:rPr>
          <w:rFonts w:ascii="Times New Roman" w:hAnsi="Times New Roman" w:cs="Times New Roman"/>
          <w:sz w:val="20"/>
          <w:szCs w:val="20"/>
        </w:rPr>
      </w:pPr>
    </w:p>
    <w:p w:rsidR="00C2199E" w:rsidRPr="00FE5415" w:rsidRDefault="00B32C82"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For the ACS, i</w:t>
      </w:r>
      <w:r w:rsidR="00C2199E" w:rsidRPr="00FE5415">
        <w:rPr>
          <w:rFonts w:ascii="Times New Roman" w:hAnsi="Times New Roman" w:cs="Times New Roman"/>
          <w:sz w:val="20"/>
          <w:szCs w:val="20"/>
        </w:rPr>
        <w:t xml:space="preserve">f the person is missing mobility status but reports a </w:t>
      </w:r>
      <w:r w:rsidR="005674B5">
        <w:rPr>
          <w:rFonts w:ascii="Times New Roman" w:hAnsi="Times New Roman" w:cs="Times New Roman"/>
          <w:sz w:val="20"/>
          <w:szCs w:val="20"/>
        </w:rPr>
        <w:t xml:space="preserve">different </w:t>
      </w:r>
      <w:r w:rsidR="00C2199E" w:rsidRPr="00FE5415">
        <w:rPr>
          <w:rFonts w:ascii="Times New Roman" w:hAnsi="Times New Roman" w:cs="Times New Roman"/>
          <w:sz w:val="20"/>
          <w:szCs w:val="20"/>
        </w:rPr>
        <w:t xml:space="preserve">residence 1 year ago, then the person is assigned a mobility status of different house in the United States or Puerto Rico or outside the United States or Puerto Rico depending upon the response to residence 1 year ago. This only </w:t>
      </w:r>
      <w:r w:rsidR="0069155B" w:rsidRPr="00FE5415">
        <w:rPr>
          <w:rFonts w:ascii="Times New Roman" w:hAnsi="Times New Roman" w:cs="Times New Roman"/>
          <w:sz w:val="20"/>
          <w:szCs w:val="20"/>
        </w:rPr>
        <w:t>occurs</w:t>
      </w:r>
      <w:r w:rsidR="00C2199E" w:rsidRPr="00FE5415">
        <w:rPr>
          <w:rFonts w:ascii="Times New Roman" w:hAnsi="Times New Roman" w:cs="Times New Roman"/>
          <w:sz w:val="20"/>
          <w:szCs w:val="20"/>
        </w:rPr>
        <w:t xml:space="preserve"> for mailed questionnaire cases since the interview instruments have built in skip patterns.</w:t>
      </w:r>
    </w:p>
    <w:p w:rsidR="00CE02C5" w:rsidRPr="00FE5415" w:rsidRDefault="00CE02C5" w:rsidP="00FC74D8">
      <w:pPr>
        <w:spacing w:line="240" w:lineRule="auto"/>
        <w:contextualSpacing/>
        <w:rPr>
          <w:rFonts w:ascii="Times New Roman" w:hAnsi="Times New Roman" w:cs="Times New Roman"/>
          <w:sz w:val="20"/>
          <w:szCs w:val="20"/>
        </w:rPr>
      </w:pPr>
    </w:p>
    <w:p w:rsidR="00DC2ACD" w:rsidRPr="00FE5415" w:rsidRDefault="00DC2ACD"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 ACS mobility status edit for </w:t>
      </w:r>
      <w:r w:rsidR="00031C4D" w:rsidRPr="00FE5415">
        <w:rPr>
          <w:rFonts w:ascii="Times New Roman" w:hAnsi="Times New Roman" w:cs="Times New Roman"/>
          <w:sz w:val="20"/>
          <w:szCs w:val="20"/>
        </w:rPr>
        <w:t>group quarters does not use rel</w:t>
      </w:r>
      <w:r w:rsidRPr="00FE5415">
        <w:rPr>
          <w:rFonts w:ascii="Times New Roman" w:hAnsi="Times New Roman" w:cs="Times New Roman"/>
          <w:sz w:val="20"/>
          <w:szCs w:val="20"/>
        </w:rPr>
        <w:t xml:space="preserve">ationship to the householder or </w:t>
      </w:r>
      <w:r w:rsidR="00031C4D" w:rsidRPr="00FE5415">
        <w:rPr>
          <w:rFonts w:ascii="Times New Roman" w:hAnsi="Times New Roman" w:cs="Times New Roman"/>
          <w:sz w:val="20"/>
          <w:szCs w:val="20"/>
        </w:rPr>
        <w:t xml:space="preserve">year and month moved in because those questions are not asked of people in group quarters. Missing mobility status values are allocated using </w:t>
      </w:r>
      <w:r w:rsidR="003B63DF" w:rsidRPr="00FE5415">
        <w:rPr>
          <w:rFonts w:ascii="Times New Roman" w:hAnsi="Times New Roman" w:cs="Times New Roman"/>
          <w:sz w:val="20"/>
          <w:szCs w:val="20"/>
        </w:rPr>
        <w:t>an</w:t>
      </w:r>
      <w:r w:rsidR="00031C4D" w:rsidRPr="00FE5415">
        <w:rPr>
          <w:rFonts w:ascii="Times New Roman" w:hAnsi="Times New Roman" w:cs="Times New Roman"/>
          <w:sz w:val="20"/>
          <w:szCs w:val="20"/>
        </w:rPr>
        <w:t xml:space="preserve"> imputation matrix with dimensions </w:t>
      </w:r>
      <w:r w:rsidR="00D34093" w:rsidRPr="00FE5415">
        <w:rPr>
          <w:rFonts w:ascii="Times New Roman" w:hAnsi="Times New Roman" w:cs="Times New Roman"/>
          <w:sz w:val="20"/>
          <w:szCs w:val="20"/>
        </w:rPr>
        <w:t xml:space="preserve">containing </w:t>
      </w:r>
      <w:r w:rsidR="00031C4D" w:rsidRPr="00FE5415">
        <w:rPr>
          <w:rFonts w:ascii="Times New Roman" w:hAnsi="Times New Roman" w:cs="Times New Roman"/>
          <w:sz w:val="20"/>
          <w:szCs w:val="20"/>
        </w:rPr>
        <w:t>group quarters type and age group.</w:t>
      </w:r>
      <w:r w:rsidR="00031C4D" w:rsidRPr="00FE5415">
        <w:rPr>
          <w:rStyle w:val="FootnoteReference"/>
          <w:rFonts w:ascii="Times New Roman" w:hAnsi="Times New Roman" w:cs="Times New Roman"/>
          <w:sz w:val="20"/>
          <w:szCs w:val="20"/>
        </w:rPr>
        <w:footnoteReference w:id="42"/>
      </w:r>
    </w:p>
    <w:p w:rsidR="00A452E7" w:rsidRPr="00FE5415" w:rsidRDefault="00A452E7" w:rsidP="00FC74D8">
      <w:pPr>
        <w:spacing w:line="240" w:lineRule="auto"/>
        <w:contextualSpacing/>
        <w:rPr>
          <w:rFonts w:ascii="Times New Roman" w:hAnsi="Times New Roman" w:cs="Times New Roman"/>
          <w:sz w:val="20"/>
          <w:szCs w:val="20"/>
        </w:rPr>
      </w:pPr>
    </w:p>
    <w:p w:rsidR="00656B28" w:rsidRDefault="00656B28" w:rsidP="00FC74D8">
      <w:pPr>
        <w:spacing w:line="240" w:lineRule="auto"/>
        <w:contextualSpacing/>
        <w:rPr>
          <w:rFonts w:ascii="Times New Roman" w:hAnsi="Times New Roman" w:cs="Times New Roman"/>
          <w:b/>
          <w:sz w:val="20"/>
          <w:szCs w:val="20"/>
        </w:rPr>
      </w:pPr>
    </w:p>
    <w:p w:rsidR="004F7A54" w:rsidRPr="00FE5415" w:rsidRDefault="004F7A54"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General Usage Guidance</w:t>
      </w:r>
    </w:p>
    <w:p w:rsidR="00A80801" w:rsidRPr="00FE5415" w:rsidRDefault="00A80801" w:rsidP="00FC74D8">
      <w:pPr>
        <w:spacing w:line="240" w:lineRule="auto"/>
        <w:contextualSpacing/>
        <w:rPr>
          <w:rFonts w:ascii="Times New Roman" w:hAnsi="Times New Roman" w:cs="Times New Roman"/>
          <w:b/>
          <w:sz w:val="20"/>
          <w:szCs w:val="20"/>
        </w:rPr>
      </w:pPr>
    </w:p>
    <w:p w:rsidR="004749EB" w:rsidRDefault="00DE673D"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One of the most common questions we receive from data users is, “</w:t>
      </w:r>
      <w:r w:rsidR="00D749A2" w:rsidRPr="00FE5415">
        <w:rPr>
          <w:rFonts w:ascii="Times New Roman" w:hAnsi="Times New Roman" w:cs="Times New Roman"/>
          <w:sz w:val="20"/>
          <w:szCs w:val="20"/>
        </w:rPr>
        <w:t xml:space="preserve">Which should I use, migration </w:t>
      </w:r>
      <w:r w:rsidR="00AE59F3" w:rsidRPr="00FE5415">
        <w:rPr>
          <w:rFonts w:ascii="Times New Roman" w:hAnsi="Times New Roman" w:cs="Times New Roman"/>
          <w:sz w:val="20"/>
          <w:szCs w:val="20"/>
        </w:rPr>
        <w:t>estimates from the ACS or ASEC?</w:t>
      </w:r>
      <w:r w:rsidRPr="00FE5415">
        <w:rPr>
          <w:rFonts w:ascii="Times New Roman" w:hAnsi="Times New Roman" w:cs="Times New Roman"/>
          <w:sz w:val="20"/>
          <w:szCs w:val="20"/>
        </w:rPr>
        <w:t xml:space="preserve">” </w:t>
      </w:r>
      <w:r w:rsidR="007D35E0" w:rsidRPr="00FE5415">
        <w:rPr>
          <w:rFonts w:ascii="Times New Roman" w:hAnsi="Times New Roman" w:cs="Times New Roman"/>
          <w:sz w:val="20"/>
          <w:szCs w:val="20"/>
        </w:rPr>
        <w:t>The answer is often context specific, meaning it depends on the ultimate objective of the project. There are some circumstances w</w:t>
      </w:r>
      <w:r w:rsidR="00BC3A1B" w:rsidRPr="00FE5415">
        <w:rPr>
          <w:rFonts w:ascii="Times New Roman" w:hAnsi="Times New Roman" w:cs="Times New Roman"/>
          <w:sz w:val="20"/>
          <w:szCs w:val="20"/>
        </w:rPr>
        <w:t xml:space="preserve">here estimates are </w:t>
      </w:r>
      <w:r w:rsidR="00AB654A" w:rsidRPr="00FE5415">
        <w:rPr>
          <w:rFonts w:ascii="Times New Roman" w:hAnsi="Times New Roman" w:cs="Times New Roman"/>
          <w:sz w:val="20"/>
          <w:szCs w:val="20"/>
        </w:rPr>
        <w:t xml:space="preserve">only available from one survey. Users </w:t>
      </w:r>
      <w:r w:rsidR="00ED6321" w:rsidRPr="00FE5415">
        <w:rPr>
          <w:rFonts w:ascii="Times New Roman" w:hAnsi="Times New Roman" w:cs="Times New Roman"/>
          <w:sz w:val="20"/>
          <w:szCs w:val="20"/>
        </w:rPr>
        <w:t>typically</w:t>
      </w:r>
      <w:r w:rsidR="00AB654A" w:rsidRPr="00FE5415">
        <w:rPr>
          <w:rFonts w:ascii="Times New Roman" w:hAnsi="Times New Roman" w:cs="Times New Roman"/>
          <w:sz w:val="20"/>
          <w:szCs w:val="20"/>
        </w:rPr>
        <w:t xml:space="preserve"> request the most recent data</w:t>
      </w:r>
      <w:r w:rsidR="00ED6321" w:rsidRPr="00FE5415">
        <w:rPr>
          <w:rFonts w:ascii="Times New Roman" w:hAnsi="Times New Roman" w:cs="Times New Roman"/>
          <w:sz w:val="20"/>
          <w:szCs w:val="20"/>
        </w:rPr>
        <w:t xml:space="preserve"> available, which is often </w:t>
      </w:r>
      <w:r w:rsidR="003B0873">
        <w:rPr>
          <w:rFonts w:ascii="Times New Roman" w:hAnsi="Times New Roman" w:cs="Times New Roman"/>
          <w:sz w:val="20"/>
          <w:szCs w:val="20"/>
        </w:rPr>
        <w:t xml:space="preserve">the </w:t>
      </w:r>
      <w:r w:rsidR="00ED6321" w:rsidRPr="00FE5415">
        <w:rPr>
          <w:rFonts w:ascii="Times New Roman" w:hAnsi="Times New Roman" w:cs="Times New Roman"/>
          <w:sz w:val="20"/>
          <w:szCs w:val="20"/>
        </w:rPr>
        <w:t xml:space="preserve">ASEC. During most years, ASEC data </w:t>
      </w:r>
      <w:r w:rsidR="00B0430E">
        <w:rPr>
          <w:rFonts w:ascii="Times New Roman" w:hAnsi="Times New Roman" w:cs="Times New Roman"/>
          <w:sz w:val="20"/>
          <w:szCs w:val="20"/>
        </w:rPr>
        <w:t xml:space="preserve">are </w:t>
      </w:r>
      <w:r w:rsidR="00810A54">
        <w:rPr>
          <w:rFonts w:ascii="Times New Roman" w:hAnsi="Times New Roman" w:cs="Times New Roman"/>
          <w:sz w:val="20"/>
          <w:szCs w:val="20"/>
        </w:rPr>
        <w:t>released</w:t>
      </w:r>
      <w:r w:rsidR="00810A54" w:rsidRPr="00FE5415">
        <w:rPr>
          <w:rFonts w:ascii="Times New Roman" w:hAnsi="Times New Roman" w:cs="Times New Roman"/>
          <w:sz w:val="20"/>
          <w:szCs w:val="20"/>
        </w:rPr>
        <w:t xml:space="preserve"> mid</w:t>
      </w:r>
      <w:r w:rsidR="00CA1A37" w:rsidRPr="00FE5415">
        <w:rPr>
          <w:rFonts w:ascii="Times New Roman" w:hAnsi="Times New Roman" w:cs="Times New Roman"/>
          <w:sz w:val="20"/>
          <w:szCs w:val="20"/>
        </w:rPr>
        <w:t>-</w:t>
      </w:r>
      <w:r w:rsidR="00ED6321" w:rsidRPr="00FE5415">
        <w:rPr>
          <w:rFonts w:ascii="Times New Roman" w:hAnsi="Times New Roman" w:cs="Times New Roman"/>
          <w:sz w:val="20"/>
          <w:szCs w:val="20"/>
        </w:rPr>
        <w:t xml:space="preserve">September </w:t>
      </w:r>
      <w:r w:rsidR="00872657" w:rsidRPr="00FE5415">
        <w:rPr>
          <w:rFonts w:ascii="Times New Roman" w:hAnsi="Times New Roman" w:cs="Times New Roman"/>
          <w:sz w:val="20"/>
          <w:szCs w:val="20"/>
        </w:rPr>
        <w:t xml:space="preserve">of the survey year </w:t>
      </w:r>
      <w:r w:rsidR="00ED6321" w:rsidRPr="00FE5415">
        <w:rPr>
          <w:rFonts w:ascii="Times New Roman" w:hAnsi="Times New Roman" w:cs="Times New Roman"/>
          <w:sz w:val="20"/>
          <w:szCs w:val="20"/>
        </w:rPr>
        <w:t>and the migration detailed tables are released bef</w:t>
      </w:r>
      <w:r w:rsidR="00872657" w:rsidRPr="00FE5415">
        <w:rPr>
          <w:rFonts w:ascii="Times New Roman" w:hAnsi="Times New Roman" w:cs="Times New Roman"/>
          <w:sz w:val="20"/>
          <w:szCs w:val="20"/>
        </w:rPr>
        <w:t>ore the end of the</w:t>
      </w:r>
      <w:r w:rsidR="00C9351A" w:rsidRPr="00FE5415">
        <w:rPr>
          <w:rFonts w:ascii="Times New Roman" w:hAnsi="Times New Roman" w:cs="Times New Roman"/>
          <w:sz w:val="20"/>
          <w:szCs w:val="20"/>
        </w:rPr>
        <w:t xml:space="preserve"> year.</w:t>
      </w:r>
      <w:r w:rsidR="00C00A01">
        <w:rPr>
          <w:rFonts w:ascii="Times New Roman" w:hAnsi="Times New Roman" w:cs="Times New Roman"/>
          <w:sz w:val="20"/>
          <w:szCs w:val="20"/>
        </w:rPr>
        <w:t xml:space="preserve"> For example, the 2013 ASEC data were </w:t>
      </w:r>
      <w:r w:rsidR="00092FE9">
        <w:rPr>
          <w:rFonts w:ascii="Times New Roman" w:hAnsi="Times New Roman" w:cs="Times New Roman"/>
          <w:sz w:val="20"/>
          <w:szCs w:val="20"/>
        </w:rPr>
        <w:t>disseminated</w:t>
      </w:r>
      <w:r w:rsidR="00C00A01">
        <w:rPr>
          <w:rFonts w:ascii="Times New Roman" w:hAnsi="Times New Roman" w:cs="Times New Roman"/>
          <w:sz w:val="20"/>
          <w:szCs w:val="20"/>
        </w:rPr>
        <w:t xml:space="preserve"> in September 2013.</w:t>
      </w:r>
      <w:r w:rsidR="00C9351A" w:rsidRPr="00FE5415">
        <w:rPr>
          <w:rFonts w:ascii="Times New Roman" w:hAnsi="Times New Roman" w:cs="Times New Roman"/>
          <w:sz w:val="20"/>
          <w:szCs w:val="20"/>
        </w:rPr>
        <w:t xml:space="preserve"> The ACS is never released in the same survey year, because it is still collecting data until December </w:t>
      </w:r>
      <w:r w:rsidR="001C0D20" w:rsidRPr="00FE5415">
        <w:rPr>
          <w:rFonts w:ascii="Times New Roman" w:hAnsi="Times New Roman" w:cs="Times New Roman"/>
          <w:sz w:val="20"/>
          <w:szCs w:val="20"/>
        </w:rPr>
        <w:t>31</w:t>
      </w:r>
      <w:r w:rsidR="00280302" w:rsidRPr="00FE5415">
        <w:rPr>
          <w:rFonts w:ascii="Times New Roman" w:hAnsi="Times New Roman" w:cs="Times New Roman"/>
          <w:sz w:val="20"/>
          <w:szCs w:val="20"/>
        </w:rPr>
        <w:t>. The normal relea</w:t>
      </w:r>
      <w:r w:rsidR="00CA1A37" w:rsidRPr="00FE5415">
        <w:rPr>
          <w:rFonts w:ascii="Times New Roman" w:hAnsi="Times New Roman" w:cs="Times New Roman"/>
          <w:sz w:val="20"/>
          <w:szCs w:val="20"/>
        </w:rPr>
        <w:t xml:space="preserve">se schedule for 1-year ACS data and migration tables in </w:t>
      </w:r>
      <w:r w:rsidR="00A8625E" w:rsidRPr="00A8625E">
        <w:rPr>
          <w:rFonts w:ascii="Times New Roman" w:hAnsi="Times New Roman" w:cs="Times New Roman"/>
          <w:sz w:val="20"/>
          <w:szCs w:val="20"/>
        </w:rPr>
        <w:t>American FactFinder</w:t>
      </w:r>
      <w:r w:rsidR="00CA1A37" w:rsidRPr="00FE5415">
        <w:rPr>
          <w:rFonts w:ascii="Times New Roman" w:hAnsi="Times New Roman" w:cs="Times New Roman"/>
          <w:sz w:val="20"/>
          <w:szCs w:val="20"/>
        </w:rPr>
        <w:t xml:space="preserve"> </w:t>
      </w:r>
      <w:r w:rsidR="00280302" w:rsidRPr="00FE5415">
        <w:rPr>
          <w:rFonts w:ascii="Times New Roman" w:hAnsi="Times New Roman" w:cs="Times New Roman"/>
          <w:sz w:val="20"/>
          <w:szCs w:val="20"/>
        </w:rPr>
        <w:t xml:space="preserve">is </w:t>
      </w:r>
      <w:r w:rsidR="00CA1A37" w:rsidRPr="00FE5415">
        <w:rPr>
          <w:rFonts w:ascii="Times New Roman" w:hAnsi="Times New Roman" w:cs="Times New Roman"/>
          <w:sz w:val="20"/>
          <w:szCs w:val="20"/>
        </w:rPr>
        <w:t xml:space="preserve">late September. </w:t>
      </w:r>
      <w:r w:rsidR="004749EB">
        <w:rPr>
          <w:rFonts w:ascii="Times New Roman" w:hAnsi="Times New Roman" w:cs="Times New Roman"/>
          <w:sz w:val="20"/>
          <w:szCs w:val="20"/>
        </w:rPr>
        <w:t>For example, the 2013 ACS data were released in September 2014 (the 5-year file, 2009-2013, was released in December 2014).</w:t>
      </w:r>
    </w:p>
    <w:p w:rsidR="004749EB" w:rsidRDefault="004749EB" w:rsidP="00FC74D8">
      <w:pPr>
        <w:spacing w:line="240" w:lineRule="auto"/>
        <w:contextualSpacing/>
        <w:rPr>
          <w:rFonts w:ascii="Times New Roman" w:hAnsi="Times New Roman" w:cs="Times New Roman"/>
          <w:sz w:val="20"/>
          <w:szCs w:val="20"/>
        </w:rPr>
      </w:pPr>
    </w:p>
    <w:p w:rsidR="00092C1B" w:rsidRPr="00AB5E65" w:rsidRDefault="00280302" w:rsidP="00FC74D8">
      <w:pPr>
        <w:spacing w:line="240" w:lineRule="auto"/>
        <w:contextualSpacing/>
        <w:rPr>
          <w:rFonts w:ascii="Times New Roman" w:hAnsi="Times New Roman" w:cs="Times New Roman"/>
          <w:sz w:val="20"/>
          <w:szCs w:val="20"/>
        </w:rPr>
      </w:pPr>
      <w:r w:rsidRPr="00A8625E">
        <w:rPr>
          <w:rFonts w:ascii="Times New Roman" w:hAnsi="Times New Roman" w:cs="Times New Roman"/>
          <w:sz w:val="20"/>
          <w:szCs w:val="20"/>
        </w:rPr>
        <w:t xml:space="preserve">There are other </w:t>
      </w:r>
      <w:r w:rsidR="005B015D" w:rsidRPr="00AB5E65">
        <w:rPr>
          <w:rFonts w:ascii="Times New Roman" w:hAnsi="Times New Roman" w:cs="Times New Roman"/>
          <w:sz w:val="20"/>
          <w:szCs w:val="20"/>
        </w:rPr>
        <w:t>situations where estimates are only available from one survey. As discussed in the survey background section,</w:t>
      </w:r>
      <w:r w:rsidR="00524B3F" w:rsidRPr="00AB5E65">
        <w:rPr>
          <w:rFonts w:ascii="Times New Roman" w:hAnsi="Times New Roman" w:cs="Times New Roman"/>
          <w:sz w:val="20"/>
          <w:szCs w:val="20"/>
        </w:rPr>
        <w:t xml:space="preserve"> </w:t>
      </w:r>
      <w:r w:rsidR="00C9527D" w:rsidRPr="003172FF">
        <w:rPr>
          <w:rFonts w:ascii="Times New Roman" w:hAnsi="Times New Roman" w:cs="Times New Roman"/>
          <w:sz w:val="20"/>
          <w:szCs w:val="20"/>
        </w:rPr>
        <w:t xml:space="preserve">the </w:t>
      </w:r>
      <w:r w:rsidR="00524B3F" w:rsidRPr="003172FF">
        <w:rPr>
          <w:rFonts w:ascii="Times New Roman" w:hAnsi="Times New Roman" w:cs="Times New Roman"/>
          <w:sz w:val="20"/>
          <w:szCs w:val="20"/>
        </w:rPr>
        <w:t xml:space="preserve">ASEC asks respondents for their </w:t>
      </w:r>
      <w:r w:rsidR="007D0CA4" w:rsidRPr="003172FF">
        <w:rPr>
          <w:rFonts w:ascii="Times New Roman" w:hAnsi="Times New Roman" w:cs="Times New Roman"/>
          <w:sz w:val="20"/>
          <w:szCs w:val="20"/>
        </w:rPr>
        <w:t xml:space="preserve">main reason for moving. Such a question does not exist on the </w:t>
      </w:r>
      <w:r w:rsidR="00DE673D" w:rsidRPr="00CE350F">
        <w:rPr>
          <w:rFonts w:ascii="Times New Roman" w:hAnsi="Times New Roman" w:cs="Times New Roman"/>
          <w:sz w:val="20"/>
          <w:szCs w:val="20"/>
        </w:rPr>
        <w:t>ACS</w:t>
      </w:r>
      <w:r w:rsidR="00C9527D" w:rsidRPr="00AC01AC">
        <w:rPr>
          <w:rFonts w:ascii="Times New Roman" w:hAnsi="Times New Roman" w:cs="Times New Roman"/>
          <w:sz w:val="20"/>
          <w:szCs w:val="20"/>
        </w:rPr>
        <w:t>.</w:t>
      </w:r>
      <w:r w:rsidR="007D0CA4" w:rsidRPr="00A8625E">
        <w:rPr>
          <w:rFonts w:ascii="Times New Roman" w:hAnsi="Times New Roman" w:cs="Times New Roman"/>
          <w:sz w:val="20"/>
          <w:szCs w:val="20"/>
        </w:rPr>
        <w:t xml:space="preserve"> </w:t>
      </w:r>
      <w:r w:rsidR="00C9527D" w:rsidRPr="00A8625E">
        <w:rPr>
          <w:rFonts w:ascii="Times New Roman" w:hAnsi="Times New Roman" w:cs="Times New Roman"/>
          <w:sz w:val="20"/>
          <w:szCs w:val="20"/>
        </w:rPr>
        <w:t>T</w:t>
      </w:r>
      <w:r w:rsidR="007D0CA4" w:rsidRPr="00A8625E">
        <w:rPr>
          <w:rFonts w:ascii="Times New Roman" w:hAnsi="Times New Roman" w:cs="Times New Roman"/>
          <w:sz w:val="20"/>
          <w:szCs w:val="20"/>
        </w:rPr>
        <w:t>herefore</w:t>
      </w:r>
      <w:r w:rsidR="00C9527D" w:rsidRPr="00A8625E">
        <w:rPr>
          <w:rFonts w:ascii="Times New Roman" w:hAnsi="Times New Roman" w:cs="Times New Roman"/>
          <w:sz w:val="20"/>
          <w:szCs w:val="20"/>
        </w:rPr>
        <w:t>, the</w:t>
      </w:r>
      <w:r w:rsidR="007D0CA4" w:rsidRPr="00A8625E">
        <w:rPr>
          <w:rFonts w:ascii="Times New Roman" w:hAnsi="Times New Roman" w:cs="Times New Roman"/>
          <w:sz w:val="20"/>
          <w:szCs w:val="20"/>
        </w:rPr>
        <w:t xml:space="preserve"> ASEC is the </w:t>
      </w:r>
      <w:r w:rsidR="00034B43">
        <w:rPr>
          <w:rFonts w:ascii="Times New Roman" w:hAnsi="Times New Roman" w:cs="Times New Roman"/>
          <w:sz w:val="20"/>
          <w:szCs w:val="20"/>
        </w:rPr>
        <w:t>only choice between the two surveys</w:t>
      </w:r>
      <w:r w:rsidR="00C9527D" w:rsidRPr="00A8625E">
        <w:rPr>
          <w:rFonts w:ascii="Times New Roman" w:hAnsi="Times New Roman" w:cs="Times New Roman"/>
          <w:sz w:val="20"/>
          <w:szCs w:val="20"/>
        </w:rPr>
        <w:t xml:space="preserve"> if the data user is interested in the reason for move</w:t>
      </w:r>
      <w:r w:rsidR="007D0CA4" w:rsidRPr="00A8625E">
        <w:rPr>
          <w:rFonts w:ascii="Times New Roman" w:hAnsi="Times New Roman" w:cs="Times New Roman"/>
          <w:sz w:val="20"/>
          <w:szCs w:val="20"/>
        </w:rPr>
        <w:t>. Distance moved is calculated for ASEC respondents who moved from one county, or state, to another.</w:t>
      </w:r>
      <w:r w:rsidR="003043E4" w:rsidRPr="00A8625E">
        <w:rPr>
          <w:rFonts w:ascii="Times New Roman" w:hAnsi="Times New Roman" w:cs="Times New Roman"/>
          <w:sz w:val="20"/>
          <w:szCs w:val="20"/>
        </w:rPr>
        <w:t xml:space="preserve"> Again, because distance moved is not calculated for the ACS, users should rely on the </w:t>
      </w:r>
      <w:r w:rsidR="00F97E94" w:rsidRPr="00AB5E65">
        <w:rPr>
          <w:rFonts w:ascii="Times New Roman" w:hAnsi="Times New Roman" w:cs="Times New Roman"/>
          <w:sz w:val="20"/>
          <w:szCs w:val="20"/>
        </w:rPr>
        <w:t>ASEC detailed migration tables</w:t>
      </w:r>
      <w:r w:rsidR="003043E4" w:rsidRPr="00AB5E65">
        <w:rPr>
          <w:rFonts w:ascii="Times New Roman" w:hAnsi="Times New Roman" w:cs="Times New Roman"/>
          <w:sz w:val="20"/>
          <w:szCs w:val="20"/>
        </w:rPr>
        <w:t>.</w:t>
      </w:r>
      <w:r w:rsidR="00AB660D" w:rsidRPr="00AC7EB8">
        <w:rPr>
          <w:rStyle w:val="FootnoteReference"/>
          <w:rFonts w:ascii="Times New Roman" w:hAnsi="Times New Roman" w:cs="Times New Roman"/>
          <w:sz w:val="20"/>
          <w:szCs w:val="20"/>
        </w:rPr>
        <w:footnoteReference w:id="43"/>
      </w:r>
      <w:r w:rsidR="007013EC" w:rsidRPr="00AB5E65">
        <w:rPr>
          <w:rFonts w:ascii="Times New Roman" w:hAnsi="Times New Roman" w:cs="Times New Roman"/>
          <w:sz w:val="20"/>
          <w:szCs w:val="20"/>
          <w:vertAlign w:val="superscript"/>
        </w:rPr>
        <w:t>,</w:t>
      </w:r>
      <w:r w:rsidR="007013EC" w:rsidRPr="00AB5E65">
        <w:rPr>
          <w:rStyle w:val="FootnoteReference"/>
          <w:rFonts w:ascii="Times New Roman" w:hAnsi="Times New Roman" w:cs="Times New Roman"/>
          <w:sz w:val="20"/>
          <w:szCs w:val="20"/>
        </w:rPr>
        <w:footnoteReference w:id="44"/>
      </w:r>
      <w:r w:rsidR="003043E4" w:rsidRPr="00A8625E">
        <w:rPr>
          <w:rFonts w:ascii="Times New Roman" w:hAnsi="Times New Roman" w:cs="Times New Roman"/>
          <w:sz w:val="20"/>
          <w:szCs w:val="20"/>
        </w:rPr>
        <w:t xml:space="preserve"> </w:t>
      </w:r>
    </w:p>
    <w:p w:rsidR="00A80801" w:rsidRPr="00FE5415" w:rsidRDefault="00A80801" w:rsidP="00FC74D8">
      <w:pPr>
        <w:spacing w:line="240" w:lineRule="auto"/>
        <w:contextualSpacing/>
        <w:rPr>
          <w:rFonts w:ascii="Times New Roman" w:hAnsi="Times New Roman" w:cs="Times New Roman"/>
          <w:sz w:val="20"/>
          <w:szCs w:val="20"/>
        </w:rPr>
      </w:pPr>
    </w:p>
    <w:p w:rsidR="0067211D" w:rsidRPr="00FE5415" w:rsidRDefault="00C61EFD"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 ACS is </w:t>
      </w:r>
      <w:r w:rsidR="000F5730">
        <w:rPr>
          <w:rFonts w:ascii="Times New Roman" w:hAnsi="Times New Roman" w:cs="Times New Roman"/>
          <w:sz w:val="20"/>
          <w:szCs w:val="20"/>
        </w:rPr>
        <w:t>a better data source for</w:t>
      </w:r>
      <w:r w:rsidRPr="00FE5415">
        <w:rPr>
          <w:rFonts w:ascii="Times New Roman" w:hAnsi="Times New Roman" w:cs="Times New Roman"/>
          <w:sz w:val="20"/>
          <w:szCs w:val="20"/>
        </w:rPr>
        <w:t xml:space="preserve"> examining migration at lower levels of geography.</w:t>
      </w:r>
      <w:r w:rsidR="009E6AC7" w:rsidRPr="00FE5415">
        <w:rPr>
          <w:rFonts w:ascii="Times New Roman" w:hAnsi="Times New Roman" w:cs="Times New Roman"/>
          <w:sz w:val="20"/>
          <w:szCs w:val="20"/>
        </w:rPr>
        <w:t xml:space="preserve"> The sample size </w:t>
      </w:r>
      <w:r w:rsidR="00EB35D0" w:rsidRPr="00FE5415">
        <w:rPr>
          <w:rFonts w:ascii="Times New Roman" w:hAnsi="Times New Roman" w:cs="Times New Roman"/>
          <w:sz w:val="20"/>
          <w:szCs w:val="20"/>
        </w:rPr>
        <w:t xml:space="preserve">and coverage </w:t>
      </w:r>
      <w:r w:rsidR="009E6AC7" w:rsidRPr="00FE5415">
        <w:rPr>
          <w:rFonts w:ascii="Times New Roman" w:hAnsi="Times New Roman" w:cs="Times New Roman"/>
          <w:sz w:val="20"/>
          <w:szCs w:val="20"/>
        </w:rPr>
        <w:t xml:space="preserve">ensures that all counties are </w:t>
      </w:r>
      <w:r w:rsidR="000B015D" w:rsidRPr="00FE5415">
        <w:rPr>
          <w:rFonts w:ascii="Times New Roman" w:hAnsi="Times New Roman" w:cs="Times New Roman"/>
          <w:sz w:val="20"/>
          <w:szCs w:val="20"/>
        </w:rPr>
        <w:t>represented</w:t>
      </w:r>
      <w:r w:rsidR="009E6AC7" w:rsidRPr="00FE5415">
        <w:rPr>
          <w:rFonts w:ascii="Times New Roman" w:hAnsi="Times New Roman" w:cs="Times New Roman"/>
          <w:sz w:val="20"/>
          <w:szCs w:val="20"/>
        </w:rPr>
        <w:t xml:space="preserve"> to some extent</w:t>
      </w:r>
      <w:r w:rsidR="008D2813" w:rsidRPr="00FE5415">
        <w:rPr>
          <w:rFonts w:ascii="Times New Roman" w:hAnsi="Times New Roman" w:cs="Times New Roman"/>
          <w:sz w:val="20"/>
          <w:szCs w:val="20"/>
        </w:rPr>
        <w:t xml:space="preserve">, a feat not possible in </w:t>
      </w:r>
      <w:r w:rsidR="00AC0B69">
        <w:rPr>
          <w:rFonts w:ascii="Times New Roman" w:hAnsi="Times New Roman" w:cs="Times New Roman"/>
          <w:sz w:val="20"/>
          <w:szCs w:val="20"/>
        </w:rPr>
        <w:t xml:space="preserve">the </w:t>
      </w:r>
      <w:r w:rsidR="008D2813" w:rsidRPr="00FE5415">
        <w:rPr>
          <w:rFonts w:ascii="Times New Roman" w:hAnsi="Times New Roman" w:cs="Times New Roman"/>
          <w:sz w:val="20"/>
          <w:szCs w:val="20"/>
        </w:rPr>
        <w:t>ASEC</w:t>
      </w:r>
      <w:r w:rsidR="009E6AC7" w:rsidRPr="00FE5415">
        <w:rPr>
          <w:rFonts w:ascii="Times New Roman" w:hAnsi="Times New Roman" w:cs="Times New Roman"/>
          <w:sz w:val="20"/>
          <w:szCs w:val="20"/>
        </w:rPr>
        <w:t>.</w:t>
      </w:r>
      <w:r w:rsidR="00A03A62" w:rsidRPr="00FE5415">
        <w:rPr>
          <w:rFonts w:ascii="Times New Roman" w:hAnsi="Times New Roman" w:cs="Times New Roman"/>
          <w:sz w:val="20"/>
          <w:szCs w:val="20"/>
        </w:rPr>
        <w:t xml:space="preserve"> </w:t>
      </w:r>
      <w:r w:rsidR="00AC0B69">
        <w:rPr>
          <w:rFonts w:ascii="Times New Roman" w:hAnsi="Times New Roman" w:cs="Times New Roman"/>
          <w:sz w:val="20"/>
          <w:szCs w:val="20"/>
        </w:rPr>
        <w:t>The p</w:t>
      </w:r>
      <w:r w:rsidR="00A03A62" w:rsidRPr="00FE5415">
        <w:rPr>
          <w:rFonts w:ascii="Times New Roman" w:hAnsi="Times New Roman" w:cs="Times New Roman"/>
          <w:sz w:val="20"/>
          <w:szCs w:val="20"/>
        </w:rPr>
        <w:t>opulation size of the area</w:t>
      </w:r>
      <w:r w:rsidR="000133D7" w:rsidRPr="00FE5415">
        <w:rPr>
          <w:rFonts w:ascii="Times New Roman" w:hAnsi="Times New Roman" w:cs="Times New Roman"/>
          <w:sz w:val="20"/>
          <w:szCs w:val="20"/>
        </w:rPr>
        <w:t xml:space="preserve"> under examination is important</w:t>
      </w:r>
      <w:r w:rsidR="00A03A62" w:rsidRPr="00FE5415">
        <w:rPr>
          <w:rFonts w:ascii="Times New Roman" w:hAnsi="Times New Roman" w:cs="Times New Roman"/>
          <w:sz w:val="20"/>
          <w:szCs w:val="20"/>
        </w:rPr>
        <w:t xml:space="preserve"> because there are preset thresholds that dictate which </w:t>
      </w:r>
      <w:r w:rsidR="0067211D" w:rsidRPr="00FE5415">
        <w:rPr>
          <w:rFonts w:ascii="Times New Roman" w:hAnsi="Times New Roman" w:cs="Times New Roman"/>
          <w:sz w:val="20"/>
          <w:szCs w:val="20"/>
        </w:rPr>
        <w:t xml:space="preserve">ACS </w:t>
      </w:r>
      <w:r w:rsidR="00A03A62" w:rsidRPr="00FE5415">
        <w:rPr>
          <w:rFonts w:ascii="Times New Roman" w:hAnsi="Times New Roman" w:cs="Times New Roman"/>
          <w:sz w:val="20"/>
          <w:szCs w:val="20"/>
        </w:rPr>
        <w:t xml:space="preserve">dataset must be used. </w:t>
      </w:r>
      <w:r w:rsidR="0067211D" w:rsidRPr="00FE5415">
        <w:rPr>
          <w:rFonts w:ascii="Times New Roman" w:hAnsi="Times New Roman" w:cs="Times New Roman"/>
          <w:sz w:val="20"/>
          <w:szCs w:val="20"/>
        </w:rPr>
        <w:t xml:space="preserve">For areas with populations smaller than 20,000, 5-year </w:t>
      </w:r>
      <w:r w:rsidR="009B6C23" w:rsidRPr="00FE5415">
        <w:rPr>
          <w:rFonts w:ascii="Times New Roman" w:hAnsi="Times New Roman" w:cs="Times New Roman"/>
          <w:sz w:val="20"/>
          <w:szCs w:val="20"/>
        </w:rPr>
        <w:t xml:space="preserve">multiyear </w:t>
      </w:r>
      <w:r w:rsidR="0067211D" w:rsidRPr="00FE5415">
        <w:rPr>
          <w:rFonts w:ascii="Times New Roman" w:hAnsi="Times New Roman" w:cs="Times New Roman"/>
          <w:sz w:val="20"/>
          <w:szCs w:val="20"/>
        </w:rPr>
        <w:t xml:space="preserve">datasets </w:t>
      </w:r>
      <w:r w:rsidR="001C0D20" w:rsidRPr="00FE5415">
        <w:rPr>
          <w:rFonts w:ascii="Times New Roman" w:hAnsi="Times New Roman" w:cs="Times New Roman"/>
          <w:sz w:val="20"/>
          <w:szCs w:val="20"/>
        </w:rPr>
        <w:t>are the only options</w:t>
      </w:r>
      <w:r w:rsidR="0067211D" w:rsidRPr="00FE5415">
        <w:rPr>
          <w:rFonts w:ascii="Times New Roman" w:hAnsi="Times New Roman" w:cs="Times New Roman"/>
          <w:sz w:val="20"/>
          <w:szCs w:val="20"/>
        </w:rPr>
        <w:t xml:space="preserve"> available. Areas with populations between 20,000 and 65,000 can use 3-year or 5-year datasets. Areas of 65,000 or more can use 1</w:t>
      </w:r>
      <w:r w:rsidR="00AC0B69">
        <w:rPr>
          <w:rFonts w:ascii="Times New Roman" w:hAnsi="Times New Roman" w:cs="Times New Roman"/>
          <w:sz w:val="20"/>
          <w:szCs w:val="20"/>
        </w:rPr>
        <w:t>-year</w:t>
      </w:r>
      <w:r w:rsidR="0067211D" w:rsidRPr="00FE5415">
        <w:rPr>
          <w:rFonts w:ascii="Times New Roman" w:hAnsi="Times New Roman" w:cs="Times New Roman"/>
          <w:sz w:val="20"/>
          <w:szCs w:val="20"/>
        </w:rPr>
        <w:t>, 3</w:t>
      </w:r>
      <w:r w:rsidR="00AC0B69">
        <w:rPr>
          <w:rFonts w:ascii="Times New Roman" w:hAnsi="Times New Roman" w:cs="Times New Roman"/>
          <w:sz w:val="20"/>
          <w:szCs w:val="20"/>
        </w:rPr>
        <w:t>-year</w:t>
      </w:r>
      <w:r w:rsidR="0067211D" w:rsidRPr="00FE5415">
        <w:rPr>
          <w:rFonts w:ascii="Times New Roman" w:hAnsi="Times New Roman" w:cs="Times New Roman"/>
          <w:sz w:val="20"/>
          <w:szCs w:val="20"/>
        </w:rPr>
        <w:t>, or 5-year datasets</w:t>
      </w:r>
      <w:r w:rsidR="0055054A" w:rsidRPr="00FE5415">
        <w:rPr>
          <w:rFonts w:ascii="Times New Roman" w:hAnsi="Times New Roman" w:cs="Times New Roman"/>
          <w:sz w:val="20"/>
          <w:szCs w:val="20"/>
        </w:rPr>
        <w:t>.</w:t>
      </w:r>
      <w:r w:rsidR="00EB35D0" w:rsidRPr="00FE5415">
        <w:rPr>
          <w:rStyle w:val="FootnoteReference"/>
          <w:rFonts w:ascii="Times New Roman" w:hAnsi="Times New Roman" w:cs="Times New Roman"/>
          <w:sz w:val="20"/>
          <w:szCs w:val="20"/>
        </w:rPr>
        <w:footnoteReference w:id="45"/>
      </w:r>
      <w:r w:rsidR="0055054A" w:rsidRPr="00FE5415">
        <w:rPr>
          <w:rFonts w:ascii="Times New Roman" w:hAnsi="Times New Roman" w:cs="Times New Roman"/>
          <w:sz w:val="20"/>
          <w:szCs w:val="20"/>
        </w:rPr>
        <w:t xml:space="preserve"> Because the migration question</w:t>
      </w:r>
      <w:r w:rsidR="007C67C7" w:rsidRPr="00FE5415">
        <w:rPr>
          <w:rFonts w:ascii="Times New Roman" w:hAnsi="Times New Roman" w:cs="Times New Roman"/>
          <w:sz w:val="20"/>
          <w:szCs w:val="20"/>
        </w:rPr>
        <w:t>s</w:t>
      </w:r>
      <w:r w:rsidR="0055054A" w:rsidRPr="00FE5415">
        <w:rPr>
          <w:rFonts w:ascii="Times New Roman" w:hAnsi="Times New Roman" w:cs="Times New Roman"/>
          <w:sz w:val="20"/>
          <w:szCs w:val="20"/>
        </w:rPr>
        <w:t xml:space="preserve"> </w:t>
      </w:r>
      <w:r w:rsidR="007C67C7" w:rsidRPr="00FE5415">
        <w:rPr>
          <w:rFonts w:ascii="Times New Roman" w:hAnsi="Times New Roman" w:cs="Times New Roman"/>
          <w:sz w:val="20"/>
          <w:szCs w:val="20"/>
        </w:rPr>
        <w:t>have</w:t>
      </w:r>
      <w:r w:rsidR="0055054A" w:rsidRPr="00FE5415">
        <w:rPr>
          <w:rFonts w:ascii="Times New Roman" w:hAnsi="Times New Roman" w:cs="Times New Roman"/>
          <w:sz w:val="20"/>
          <w:szCs w:val="20"/>
        </w:rPr>
        <w:t xml:space="preserve"> a 1-year reference period, </w:t>
      </w:r>
      <w:r w:rsidR="0067211D" w:rsidRPr="00FE5415">
        <w:rPr>
          <w:rFonts w:ascii="Times New Roman" w:hAnsi="Times New Roman" w:cs="Times New Roman"/>
          <w:sz w:val="20"/>
          <w:szCs w:val="20"/>
        </w:rPr>
        <w:t xml:space="preserve">for ease of understanding we often recommend </w:t>
      </w:r>
      <w:r w:rsidR="0055054A" w:rsidRPr="00FE5415">
        <w:rPr>
          <w:rFonts w:ascii="Times New Roman" w:hAnsi="Times New Roman" w:cs="Times New Roman"/>
          <w:sz w:val="20"/>
          <w:szCs w:val="20"/>
        </w:rPr>
        <w:t xml:space="preserve">using </w:t>
      </w:r>
      <w:r w:rsidR="0067211D" w:rsidRPr="00FE5415">
        <w:rPr>
          <w:rFonts w:ascii="Times New Roman" w:hAnsi="Times New Roman" w:cs="Times New Roman"/>
          <w:sz w:val="20"/>
          <w:szCs w:val="20"/>
        </w:rPr>
        <w:t>1-year</w:t>
      </w:r>
      <w:r w:rsidR="008D2813" w:rsidRPr="00FE5415">
        <w:rPr>
          <w:rFonts w:ascii="Times New Roman" w:hAnsi="Times New Roman" w:cs="Times New Roman"/>
          <w:sz w:val="20"/>
          <w:szCs w:val="20"/>
        </w:rPr>
        <w:t xml:space="preserve"> </w:t>
      </w:r>
      <w:r w:rsidR="0055054A" w:rsidRPr="00FE5415">
        <w:rPr>
          <w:rFonts w:ascii="Times New Roman" w:hAnsi="Times New Roman" w:cs="Times New Roman"/>
          <w:sz w:val="20"/>
          <w:szCs w:val="20"/>
        </w:rPr>
        <w:t xml:space="preserve">data </w:t>
      </w:r>
      <w:r w:rsidR="008D2813" w:rsidRPr="00FE5415">
        <w:rPr>
          <w:rFonts w:ascii="Times New Roman" w:hAnsi="Times New Roman" w:cs="Times New Roman"/>
          <w:sz w:val="20"/>
          <w:szCs w:val="20"/>
        </w:rPr>
        <w:t>unless the situation warrants otherwise</w:t>
      </w:r>
      <w:r w:rsidR="0067211D" w:rsidRPr="00FE5415">
        <w:rPr>
          <w:rFonts w:ascii="Times New Roman" w:hAnsi="Times New Roman" w:cs="Times New Roman"/>
          <w:sz w:val="20"/>
          <w:szCs w:val="20"/>
        </w:rPr>
        <w:t xml:space="preserve">. </w:t>
      </w:r>
    </w:p>
    <w:p w:rsidR="009B6C23" w:rsidRPr="00FE5415" w:rsidRDefault="009B6C23"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Before moving forward, it is important to distinguish between 5-year multiyear migration estimates and data from a 5-year migration question</w:t>
      </w:r>
      <w:r w:rsidR="00D54428" w:rsidRPr="00FE5415">
        <w:rPr>
          <w:rFonts w:ascii="Times New Roman" w:hAnsi="Times New Roman" w:cs="Times New Roman"/>
          <w:sz w:val="20"/>
          <w:szCs w:val="20"/>
        </w:rPr>
        <w:t xml:space="preserve">. There may be some confusion that the two are </w:t>
      </w:r>
      <w:r w:rsidR="001C0D20">
        <w:rPr>
          <w:rFonts w:ascii="Times New Roman" w:hAnsi="Times New Roman" w:cs="Times New Roman"/>
          <w:sz w:val="20"/>
          <w:szCs w:val="20"/>
        </w:rPr>
        <w:t>equal.</w:t>
      </w:r>
      <w:r w:rsidR="00D54428" w:rsidRPr="00FE5415">
        <w:rPr>
          <w:rFonts w:ascii="Times New Roman" w:hAnsi="Times New Roman" w:cs="Times New Roman"/>
          <w:sz w:val="20"/>
          <w:szCs w:val="20"/>
        </w:rPr>
        <w:t xml:space="preserve"> A 5-year migration question is just that, a question asking about a respondent’s place of residence 5 years ago.</w:t>
      </w:r>
      <w:r w:rsidR="003D14A8" w:rsidRPr="00FE5415">
        <w:rPr>
          <w:rStyle w:val="FootnoteReference"/>
          <w:rFonts w:ascii="Times New Roman" w:hAnsi="Times New Roman" w:cs="Times New Roman"/>
          <w:sz w:val="20"/>
          <w:szCs w:val="20"/>
        </w:rPr>
        <w:footnoteReference w:id="46"/>
      </w:r>
      <w:r w:rsidR="00D54428" w:rsidRPr="00FE5415">
        <w:rPr>
          <w:rFonts w:ascii="Times New Roman" w:hAnsi="Times New Roman" w:cs="Times New Roman"/>
          <w:sz w:val="20"/>
          <w:szCs w:val="20"/>
        </w:rPr>
        <w:t xml:space="preserve"> The ACS multiyear estimates are </w:t>
      </w:r>
      <w:r w:rsidR="00E66A01">
        <w:rPr>
          <w:rFonts w:ascii="Times New Roman" w:hAnsi="Times New Roman" w:cs="Times New Roman"/>
          <w:sz w:val="20"/>
          <w:szCs w:val="20"/>
        </w:rPr>
        <w:t>made up of</w:t>
      </w:r>
      <w:r w:rsidR="00B9634E">
        <w:rPr>
          <w:rFonts w:ascii="Times New Roman" w:hAnsi="Times New Roman" w:cs="Times New Roman"/>
          <w:sz w:val="20"/>
          <w:szCs w:val="20"/>
        </w:rPr>
        <w:t xml:space="preserve"> </w:t>
      </w:r>
      <w:r w:rsidR="00D54428" w:rsidRPr="00FE5415">
        <w:rPr>
          <w:rFonts w:ascii="Times New Roman" w:hAnsi="Times New Roman" w:cs="Times New Roman"/>
          <w:sz w:val="20"/>
          <w:szCs w:val="20"/>
        </w:rPr>
        <w:t xml:space="preserve">several years of ACS data combined and reprocessed. This pooled approach greatly increases the sample size for smaller areas, </w:t>
      </w:r>
      <w:r w:rsidR="00944C94" w:rsidRPr="00FE5415">
        <w:rPr>
          <w:rFonts w:ascii="Times New Roman" w:hAnsi="Times New Roman" w:cs="Times New Roman"/>
          <w:sz w:val="20"/>
          <w:szCs w:val="20"/>
        </w:rPr>
        <w:t>reducing the variability of</w:t>
      </w:r>
      <w:r w:rsidR="00D54428" w:rsidRPr="00FE5415">
        <w:rPr>
          <w:rFonts w:ascii="Times New Roman" w:hAnsi="Times New Roman" w:cs="Times New Roman"/>
          <w:sz w:val="20"/>
          <w:szCs w:val="20"/>
        </w:rPr>
        <w:t xml:space="preserve"> estimates </w:t>
      </w:r>
      <w:r w:rsidR="00944C94" w:rsidRPr="00FE5415">
        <w:rPr>
          <w:rFonts w:ascii="Times New Roman" w:hAnsi="Times New Roman" w:cs="Times New Roman"/>
          <w:sz w:val="20"/>
          <w:szCs w:val="20"/>
        </w:rPr>
        <w:t xml:space="preserve">when compared to the </w:t>
      </w:r>
      <w:r w:rsidR="00D54428" w:rsidRPr="00FE5415">
        <w:rPr>
          <w:rFonts w:ascii="Times New Roman" w:hAnsi="Times New Roman" w:cs="Times New Roman"/>
          <w:sz w:val="20"/>
          <w:szCs w:val="20"/>
        </w:rPr>
        <w:t xml:space="preserve">1-year dataset. The migration question itself is unchanged, meaning it is </w:t>
      </w:r>
      <w:r w:rsidR="00B0127E" w:rsidRPr="00FE5415">
        <w:rPr>
          <w:rFonts w:ascii="Times New Roman" w:hAnsi="Times New Roman" w:cs="Times New Roman"/>
          <w:sz w:val="20"/>
          <w:szCs w:val="20"/>
        </w:rPr>
        <w:t xml:space="preserve">still </w:t>
      </w:r>
      <w:r w:rsidR="00D54428" w:rsidRPr="00FE5415">
        <w:rPr>
          <w:rFonts w:ascii="Times New Roman" w:hAnsi="Times New Roman" w:cs="Times New Roman"/>
          <w:sz w:val="20"/>
          <w:szCs w:val="20"/>
        </w:rPr>
        <w:t xml:space="preserve">a 1-year question. As far </w:t>
      </w:r>
      <w:r w:rsidR="0075241E" w:rsidRPr="00FE5415">
        <w:rPr>
          <w:rFonts w:ascii="Times New Roman" w:hAnsi="Times New Roman" w:cs="Times New Roman"/>
          <w:sz w:val="20"/>
          <w:szCs w:val="20"/>
        </w:rPr>
        <w:t>as interpretation, migration estimates in multiyear datasets are most easily understood as the annual average of movement for the area of interest over the specified 3-year or 5-year period.</w:t>
      </w:r>
      <w:r w:rsidR="00944C94" w:rsidRPr="00FE5415">
        <w:rPr>
          <w:rStyle w:val="FootnoteReference"/>
          <w:rFonts w:ascii="Times New Roman" w:hAnsi="Times New Roman" w:cs="Times New Roman"/>
          <w:sz w:val="20"/>
          <w:szCs w:val="20"/>
        </w:rPr>
        <w:footnoteReference w:id="47"/>
      </w:r>
      <w:r w:rsidR="0075241E" w:rsidRPr="00FE5415">
        <w:rPr>
          <w:rFonts w:ascii="Times New Roman" w:hAnsi="Times New Roman" w:cs="Times New Roman"/>
          <w:sz w:val="20"/>
          <w:szCs w:val="20"/>
        </w:rPr>
        <w:t xml:space="preserve"> </w:t>
      </w:r>
    </w:p>
    <w:p w:rsidR="00A80801" w:rsidRPr="00FE5415" w:rsidRDefault="00A80801" w:rsidP="00FC74D8">
      <w:pPr>
        <w:spacing w:line="240" w:lineRule="auto"/>
        <w:contextualSpacing/>
        <w:rPr>
          <w:rFonts w:ascii="Times New Roman" w:hAnsi="Times New Roman" w:cs="Times New Roman"/>
          <w:sz w:val="20"/>
          <w:szCs w:val="20"/>
        </w:rPr>
      </w:pPr>
    </w:p>
    <w:p w:rsidR="006F08BE" w:rsidRPr="00FE5415" w:rsidRDefault="00BA1BCC"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There are advantages and disadvantages of using multiyear datasets. Arguably, the biggest advantage is the increased robustness of estimates, </w:t>
      </w:r>
      <w:r w:rsidR="00306E5C" w:rsidRPr="00FE5415">
        <w:rPr>
          <w:rFonts w:ascii="Times New Roman" w:hAnsi="Times New Roman" w:cs="Times New Roman"/>
          <w:sz w:val="20"/>
          <w:szCs w:val="20"/>
        </w:rPr>
        <w:t xml:space="preserve">especially </w:t>
      </w:r>
      <w:r w:rsidR="00845959" w:rsidRPr="00FE5415">
        <w:rPr>
          <w:rFonts w:ascii="Times New Roman" w:hAnsi="Times New Roman" w:cs="Times New Roman"/>
          <w:sz w:val="20"/>
          <w:szCs w:val="20"/>
        </w:rPr>
        <w:t xml:space="preserve">among </w:t>
      </w:r>
      <w:r w:rsidR="00306E5C" w:rsidRPr="00FE5415">
        <w:rPr>
          <w:rFonts w:ascii="Times New Roman" w:hAnsi="Times New Roman" w:cs="Times New Roman"/>
          <w:sz w:val="20"/>
          <w:szCs w:val="20"/>
        </w:rPr>
        <w:t xml:space="preserve">smaller geographies. </w:t>
      </w:r>
      <w:r w:rsidR="008A753C" w:rsidRPr="008A753C">
        <w:rPr>
          <w:rFonts w:ascii="Times New Roman" w:hAnsi="Times New Roman" w:cs="Times New Roman"/>
          <w:sz w:val="20"/>
          <w:szCs w:val="20"/>
        </w:rPr>
        <w:t xml:space="preserve">In some cases, even multiyear estimates have large standard errors compared to the estimates themselves, suggesting that the 5-year estimate should be used with caution, and equivalent 1-year estimates, if available, should not be used at all. </w:t>
      </w:r>
      <w:r w:rsidR="006F08BE" w:rsidRPr="00FE5415">
        <w:rPr>
          <w:rFonts w:ascii="Times New Roman" w:hAnsi="Times New Roman" w:cs="Times New Roman"/>
          <w:sz w:val="20"/>
          <w:szCs w:val="20"/>
        </w:rPr>
        <w:t xml:space="preserve">Without a pooled sample, many smaller counties, towns, or places would not have enough movers to provide a reasonable estimate. </w:t>
      </w:r>
      <w:r w:rsidR="004A7D82" w:rsidRPr="00FE5415">
        <w:rPr>
          <w:rFonts w:ascii="Times New Roman" w:hAnsi="Times New Roman" w:cs="Times New Roman"/>
          <w:sz w:val="20"/>
          <w:szCs w:val="20"/>
        </w:rPr>
        <w:t xml:space="preserve">The multiyear approach creates opportunities to develop new and interesting products, such as </w:t>
      </w:r>
      <w:r w:rsidR="004A7D82" w:rsidRPr="00EB061E">
        <w:rPr>
          <w:rFonts w:ascii="Times New Roman" w:hAnsi="Times New Roman" w:cs="Times New Roman"/>
          <w:sz w:val="20"/>
          <w:szCs w:val="20"/>
        </w:rPr>
        <w:t xml:space="preserve">the </w:t>
      </w:r>
      <w:r w:rsidR="00A14DF8" w:rsidRPr="00EB061E">
        <w:rPr>
          <w:rFonts w:ascii="Times New Roman" w:hAnsi="Times New Roman" w:cs="Times New Roman"/>
          <w:sz w:val="20"/>
          <w:szCs w:val="20"/>
        </w:rPr>
        <w:t>Census Flows Mapper</w:t>
      </w:r>
      <w:r w:rsidR="00EE51D2" w:rsidRPr="00EB061E">
        <w:rPr>
          <w:rFonts w:ascii="Times New Roman" w:hAnsi="Times New Roman" w:cs="Times New Roman"/>
          <w:sz w:val="20"/>
          <w:szCs w:val="20"/>
        </w:rPr>
        <w:t>.</w:t>
      </w:r>
      <w:r w:rsidR="00A14DF8" w:rsidRPr="00EB061E">
        <w:rPr>
          <w:rStyle w:val="FootnoteReference"/>
          <w:rFonts w:ascii="Times New Roman" w:hAnsi="Times New Roman" w:cs="Times New Roman"/>
          <w:sz w:val="20"/>
          <w:szCs w:val="20"/>
        </w:rPr>
        <w:footnoteReference w:id="48"/>
      </w:r>
      <w:r w:rsidR="00EE51D2" w:rsidRPr="00EB061E">
        <w:rPr>
          <w:rFonts w:ascii="Times New Roman" w:hAnsi="Times New Roman" w:cs="Times New Roman"/>
          <w:sz w:val="20"/>
          <w:szCs w:val="20"/>
        </w:rPr>
        <w:t xml:space="preserve"> The</w:t>
      </w:r>
      <w:r w:rsidR="00EE51D2" w:rsidRPr="00FE5415">
        <w:rPr>
          <w:rFonts w:ascii="Times New Roman" w:hAnsi="Times New Roman" w:cs="Times New Roman"/>
          <w:sz w:val="20"/>
          <w:szCs w:val="20"/>
        </w:rPr>
        <w:t xml:space="preserve"> flows mapper tool </w:t>
      </w:r>
      <w:r w:rsidR="00956147" w:rsidRPr="00FE5415">
        <w:rPr>
          <w:rFonts w:ascii="Times New Roman" w:hAnsi="Times New Roman" w:cs="Times New Roman"/>
          <w:sz w:val="20"/>
          <w:szCs w:val="20"/>
        </w:rPr>
        <w:t>displays</w:t>
      </w:r>
      <w:r w:rsidR="00EE51D2" w:rsidRPr="00FE5415">
        <w:rPr>
          <w:rFonts w:ascii="Times New Roman" w:hAnsi="Times New Roman" w:cs="Times New Roman"/>
          <w:sz w:val="20"/>
          <w:szCs w:val="20"/>
        </w:rPr>
        <w:t xml:space="preserve"> county-to-county migration by selected characteristics over a predetermined period. </w:t>
      </w:r>
      <w:r w:rsidR="005225FF" w:rsidRPr="00FE5415">
        <w:rPr>
          <w:rFonts w:ascii="Times New Roman" w:hAnsi="Times New Roman" w:cs="Times New Roman"/>
          <w:sz w:val="20"/>
          <w:szCs w:val="20"/>
        </w:rPr>
        <w:t>Establishing any sort of county-to-county flow table or product using 1-year data would prove difficult, but further</w:t>
      </w:r>
      <w:r w:rsidR="00FF3243" w:rsidRPr="00FE5415">
        <w:rPr>
          <w:rFonts w:ascii="Times New Roman" w:hAnsi="Times New Roman" w:cs="Times New Roman"/>
          <w:sz w:val="20"/>
          <w:szCs w:val="20"/>
        </w:rPr>
        <w:t xml:space="preserve"> subdividing</w:t>
      </w:r>
      <w:r w:rsidR="005225FF" w:rsidRPr="00FE5415">
        <w:rPr>
          <w:rFonts w:ascii="Times New Roman" w:hAnsi="Times New Roman" w:cs="Times New Roman"/>
          <w:sz w:val="20"/>
          <w:szCs w:val="20"/>
        </w:rPr>
        <w:t xml:space="preserve"> the flows by </w:t>
      </w:r>
      <w:r w:rsidR="00FF3243" w:rsidRPr="00FE5415">
        <w:rPr>
          <w:rFonts w:ascii="Times New Roman" w:hAnsi="Times New Roman" w:cs="Times New Roman"/>
          <w:sz w:val="20"/>
          <w:szCs w:val="20"/>
        </w:rPr>
        <w:t xml:space="preserve">any </w:t>
      </w:r>
      <w:r w:rsidR="005225FF" w:rsidRPr="00FE5415">
        <w:rPr>
          <w:rFonts w:ascii="Times New Roman" w:hAnsi="Times New Roman" w:cs="Times New Roman"/>
          <w:sz w:val="20"/>
          <w:szCs w:val="20"/>
        </w:rPr>
        <w:t>characteristic would be nearly impossible in most cases</w:t>
      </w:r>
      <w:r w:rsidR="00956147" w:rsidRPr="00FE5415">
        <w:rPr>
          <w:rFonts w:ascii="Times New Roman" w:hAnsi="Times New Roman" w:cs="Times New Roman"/>
          <w:sz w:val="20"/>
          <w:szCs w:val="20"/>
        </w:rPr>
        <w:t xml:space="preserve">. Even with a pooled approach, </w:t>
      </w:r>
      <w:r w:rsidR="001C0D20" w:rsidRPr="00FE5415">
        <w:rPr>
          <w:rFonts w:ascii="Times New Roman" w:hAnsi="Times New Roman" w:cs="Times New Roman"/>
          <w:sz w:val="20"/>
          <w:szCs w:val="20"/>
        </w:rPr>
        <w:t>vast majorities of the county-to-county flows have</w:t>
      </w:r>
      <w:r w:rsidR="00956147" w:rsidRPr="00FE5415">
        <w:rPr>
          <w:rFonts w:ascii="Times New Roman" w:hAnsi="Times New Roman" w:cs="Times New Roman"/>
          <w:sz w:val="20"/>
          <w:szCs w:val="20"/>
        </w:rPr>
        <w:t xml:space="preserve"> </w:t>
      </w:r>
      <w:r w:rsidR="00D65815" w:rsidRPr="00FE5415">
        <w:rPr>
          <w:rFonts w:ascii="Times New Roman" w:hAnsi="Times New Roman" w:cs="Times New Roman"/>
          <w:sz w:val="20"/>
          <w:szCs w:val="20"/>
        </w:rPr>
        <w:t xml:space="preserve">none to very few </w:t>
      </w:r>
      <w:r w:rsidR="00956147" w:rsidRPr="00FE5415">
        <w:rPr>
          <w:rFonts w:ascii="Times New Roman" w:hAnsi="Times New Roman" w:cs="Times New Roman"/>
          <w:sz w:val="20"/>
          <w:szCs w:val="20"/>
        </w:rPr>
        <w:t>movers</w:t>
      </w:r>
      <w:r w:rsidR="00A14DF8">
        <w:rPr>
          <w:rFonts w:ascii="Times New Roman" w:hAnsi="Times New Roman" w:cs="Times New Roman"/>
          <w:sz w:val="20"/>
          <w:szCs w:val="20"/>
        </w:rPr>
        <w:t xml:space="preserve"> and</w:t>
      </w:r>
      <w:r w:rsidR="00A14DF8" w:rsidRPr="00FE5415">
        <w:rPr>
          <w:rFonts w:ascii="Times New Roman" w:hAnsi="Times New Roman" w:cs="Times New Roman"/>
          <w:sz w:val="20"/>
          <w:szCs w:val="20"/>
        </w:rPr>
        <w:t xml:space="preserve"> </w:t>
      </w:r>
      <w:r w:rsidR="00D65815" w:rsidRPr="00FE5415">
        <w:rPr>
          <w:rFonts w:ascii="Times New Roman" w:hAnsi="Times New Roman" w:cs="Times New Roman"/>
          <w:sz w:val="20"/>
          <w:szCs w:val="20"/>
        </w:rPr>
        <w:t xml:space="preserve">many </w:t>
      </w:r>
      <w:r w:rsidR="00A14DF8">
        <w:rPr>
          <w:rFonts w:ascii="Times New Roman" w:hAnsi="Times New Roman" w:cs="Times New Roman"/>
          <w:sz w:val="20"/>
          <w:szCs w:val="20"/>
        </w:rPr>
        <w:t>have</w:t>
      </w:r>
      <w:r w:rsidR="00A14DF8" w:rsidRPr="00FE5415">
        <w:rPr>
          <w:rFonts w:ascii="Times New Roman" w:hAnsi="Times New Roman" w:cs="Times New Roman"/>
          <w:sz w:val="20"/>
          <w:szCs w:val="20"/>
        </w:rPr>
        <w:t xml:space="preserve"> </w:t>
      </w:r>
      <w:r w:rsidR="00D65815" w:rsidRPr="00FE5415">
        <w:rPr>
          <w:rFonts w:ascii="Times New Roman" w:hAnsi="Times New Roman" w:cs="Times New Roman"/>
          <w:sz w:val="20"/>
          <w:szCs w:val="20"/>
        </w:rPr>
        <w:t>margins of error greater than the estimate</w:t>
      </w:r>
      <w:r w:rsidR="00956147" w:rsidRPr="00FE5415">
        <w:rPr>
          <w:rFonts w:ascii="Times New Roman" w:hAnsi="Times New Roman" w:cs="Times New Roman"/>
          <w:sz w:val="20"/>
          <w:szCs w:val="20"/>
        </w:rPr>
        <w:t xml:space="preserve">. </w:t>
      </w:r>
    </w:p>
    <w:p w:rsidR="00A80801" w:rsidRPr="00FE5415" w:rsidRDefault="00A80801" w:rsidP="00FC74D8">
      <w:pPr>
        <w:spacing w:line="240" w:lineRule="auto"/>
        <w:contextualSpacing/>
        <w:rPr>
          <w:rFonts w:ascii="Times New Roman" w:hAnsi="Times New Roman" w:cs="Times New Roman"/>
          <w:sz w:val="20"/>
          <w:szCs w:val="20"/>
        </w:rPr>
      </w:pPr>
    </w:p>
    <w:p w:rsidR="000632A4" w:rsidRPr="00FE5415" w:rsidRDefault="00C433A5"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There are certain disadvantages that need to be considered when using </w:t>
      </w:r>
      <w:r w:rsidR="00E4799A" w:rsidRPr="00FE5415">
        <w:rPr>
          <w:rFonts w:ascii="Times New Roman" w:hAnsi="Times New Roman" w:cs="Times New Roman"/>
          <w:sz w:val="20"/>
          <w:szCs w:val="20"/>
        </w:rPr>
        <w:t xml:space="preserve">a pooled approach. </w:t>
      </w:r>
      <w:r w:rsidR="005F04E9" w:rsidRPr="00FE5415">
        <w:rPr>
          <w:rFonts w:ascii="Times New Roman" w:hAnsi="Times New Roman" w:cs="Times New Roman"/>
          <w:sz w:val="20"/>
          <w:szCs w:val="20"/>
        </w:rPr>
        <w:t xml:space="preserve">As alluded to earlier, the 1-year migration reference period often causes confusion with interpretation. What exactly does it mean </w:t>
      </w:r>
      <w:r w:rsidR="001164A6" w:rsidRPr="00FE5415">
        <w:rPr>
          <w:rFonts w:ascii="Times New Roman" w:hAnsi="Times New Roman" w:cs="Times New Roman"/>
          <w:sz w:val="20"/>
          <w:szCs w:val="20"/>
        </w:rPr>
        <w:t xml:space="preserve">that </w:t>
      </w:r>
      <w:r w:rsidR="005F04E9" w:rsidRPr="00FE5415">
        <w:rPr>
          <w:rFonts w:ascii="Times New Roman" w:hAnsi="Times New Roman" w:cs="Times New Roman"/>
          <w:sz w:val="20"/>
          <w:szCs w:val="20"/>
        </w:rPr>
        <w:t xml:space="preserve">X number of people moved over a </w:t>
      </w:r>
      <w:r w:rsidR="00DF5CE4" w:rsidRPr="00FE5415">
        <w:rPr>
          <w:rFonts w:ascii="Times New Roman" w:hAnsi="Times New Roman" w:cs="Times New Roman"/>
          <w:sz w:val="20"/>
          <w:szCs w:val="20"/>
        </w:rPr>
        <w:t>1-year</w:t>
      </w:r>
      <w:r w:rsidR="005F04E9" w:rsidRPr="00FE5415">
        <w:rPr>
          <w:rFonts w:ascii="Times New Roman" w:hAnsi="Times New Roman" w:cs="Times New Roman"/>
          <w:sz w:val="20"/>
          <w:szCs w:val="20"/>
        </w:rPr>
        <w:t xml:space="preserve"> period between 200</w:t>
      </w:r>
      <w:r w:rsidR="00EC78EB" w:rsidRPr="00FE5415">
        <w:rPr>
          <w:rFonts w:ascii="Times New Roman" w:hAnsi="Times New Roman" w:cs="Times New Roman"/>
          <w:sz w:val="20"/>
          <w:szCs w:val="20"/>
        </w:rPr>
        <w:t>9 and 2013? In addition</w:t>
      </w:r>
      <w:r w:rsidR="001164A6" w:rsidRPr="00FE5415">
        <w:rPr>
          <w:rFonts w:ascii="Times New Roman" w:hAnsi="Times New Roman" w:cs="Times New Roman"/>
          <w:sz w:val="20"/>
          <w:szCs w:val="20"/>
        </w:rPr>
        <w:t>, the combined nature of pooled samples results in yearly trends being overshadowed</w:t>
      </w:r>
      <w:r w:rsidR="007746C8" w:rsidRPr="00FE5415">
        <w:rPr>
          <w:rFonts w:ascii="Times New Roman" w:hAnsi="Times New Roman" w:cs="Times New Roman"/>
          <w:sz w:val="20"/>
          <w:szCs w:val="20"/>
        </w:rPr>
        <w:t xml:space="preserve"> (overwhelmed) by a longer period</w:t>
      </w:r>
      <w:r w:rsidR="001164A6" w:rsidRPr="00FE5415">
        <w:rPr>
          <w:rFonts w:ascii="Times New Roman" w:hAnsi="Times New Roman" w:cs="Times New Roman"/>
          <w:sz w:val="20"/>
          <w:szCs w:val="20"/>
        </w:rPr>
        <w:t>.</w:t>
      </w:r>
      <w:r w:rsidR="008A3EF8" w:rsidRPr="00FE5415">
        <w:rPr>
          <w:rFonts w:ascii="Times New Roman" w:hAnsi="Times New Roman" w:cs="Times New Roman"/>
          <w:sz w:val="20"/>
          <w:szCs w:val="20"/>
        </w:rPr>
        <w:t xml:space="preserve"> Any </w:t>
      </w:r>
      <w:r w:rsidR="00024860" w:rsidRPr="00FE5415">
        <w:rPr>
          <w:rFonts w:ascii="Times New Roman" w:hAnsi="Times New Roman" w:cs="Times New Roman"/>
          <w:sz w:val="20"/>
          <w:szCs w:val="20"/>
        </w:rPr>
        <w:t>year-t</w:t>
      </w:r>
      <w:r w:rsidR="00627EF0" w:rsidRPr="00FE5415">
        <w:rPr>
          <w:rFonts w:ascii="Times New Roman" w:hAnsi="Times New Roman" w:cs="Times New Roman"/>
          <w:sz w:val="20"/>
          <w:szCs w:val="20"/>
        </w:rPr>
        <w:t xml:space="preserve">o-year fluctuations may be lost when the years </w:t>
      </w:r>
      <w:r w:rsidR="00965C13" w:rsidRPr="00FE5415">
        <w:rPr>
          <w:rFonts w:ascii="Times New Roman" w:hAnsi="Times New Roman" w:cs="Times New Roman"/>
          <w:sz w:val="20"/>
          <w:szCs w:val="20"/>
        </w:rPr>
        <w:t xml:space="preserve">are aggregated and reprocessed. Again, depending on the </w:t>
      </w:r>
      <w:r w:rsidR="008D702F" w:rsidRPr="00FE5415">
        <w:rPr>
          <w:rFonts w:ascii="Times New Roman" w:hAnsi="Times New Roman" w:cs="Times New Roman"/>
          <w:sz w:val="20"/>
          <w:szCs w:val="20"/>
        </w:rPr>
        <w:t>context</w:t>
      </w:r>
      <w:r w:rsidR="00F16C2E" w:rsidRPr="00FE5415">
        <w:rPr>
          <w:rFonts w:ascii="Times New Roman" w:hAnsi="Times New Roman" w:cs="Times New Roman"/>
          <w:sz w:val="20"/>
          <w:szCs w:val="20"/>
        </w:rPr>
        <w:t>,</w:t>
      </w:r>
      <w:r w:rsidR="00965C13" w:rsidRPr="00FE5415">
        <w:rPr>
          <w:rFonts w:ascii="Times New Roman" w:hAnsi="Times New Roman" w:cs="Times New Roman"/>
          <w:sz w:val="20"/>
          <w:szCs w:val="20"/>
        </w:rPr>
        <w:t xml:space="preserve"> th</w:t>
      </w:r>
      <w:r w:rsidR="00F16C2E" w:rsidRPr="00FE5415">
        <w:rPr>
          <w:rFonts w:ascii="Times New Roman" w:hAnsi="Times New Roman" w:cs="Times New Roman"/>
          <w:sz w:val="20"/>
          <w:szCs w:val="20"/>
        </w:rPr>
        <w:t>ese considerations</w:t>
      </w:r>
      <w:r w:rsidR="00965C13" w:rsidRPr="00FE5415">
        <w:rPr>
          <w:rFonts w:ascii="Times New Roman" w:hAnsi="Times New Roman" w:cs="Times New Roman"/>
          <w:sz w:val="20"/>
          <w:szCs w:val="20"/>
        </w:rPr>
        <w:t xml:space="preserve"> might not be cause for concern. </w:t>
      </w:r>
    </w:p>
    <w:p w:rsidR="00083A6F" w:rsidRPr="00FE5415" w:rsidRDefault="00083A6F" w:rsidP="00FC74D8">
      <w:pPr>
        <w:spacing w:line="240" w:lineRule="auto"/>
        <w:contextualSpacing/>
        <w:rPr>
          <w:rFonts w:ascii="Times New Roman" w:hAnsi="Times New Roman" w:cs="Times New Roman"/>
          <w:b/>
          <w:sz w:val="20"/>
          <w:szCs w:val="20"/>
        </w:rPr>
      </w:pPr>
    </w:p>
    <w:p w:rsidR="000632A4" w:rsidRPr="00FE5415" w:rsidRDefault="008F7D66"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An e</w:t>
      </w:r>
      <w:r w:rsidR="00083A6F" w:rsidRPr="00FE5415">
        <w:rPr>
          <w:rFonts w:ascii="Times New Roman" w:hAnsi="Times New Roman" w:cs="Times New Roman"/>
          <w:b/>
          <w:sz w:val="20"/>
          <w:szCs w:val="20"/>
        </w:rPr>
        <w:t>xample</w:t>
      </w:r>
      <w:r w:rsidRPr="00FE5415">
        <w:rPr>
          <w:rFonts w:ascii="Times New Roman" w:hAnsi="Times New Roman" w:cs="Times New Roman"/>
          <w:b/>
          <w:sz w:val="20"/>
          <w:szCs w:val="20"/>
        </w:rPr>
        <w:t xml:space="preserve"> using ASEC and ACS migration estimates</w:t>
      </w:r>
    </w:p>
    <w:p w:rsidR="00A452E7" w:rsidRPr="00FE5415" w:rsidRDefault="00A452E7" w:rsidP="00FC74D8">
      <w:pPr>
        <w:spacing w:line="240" w:lineRule="auto"/>
        <w:contextualSpacing/>
        <w:rPr>
          <w:rFonts w:ascii="Times New Roman" w:hAnsi="Times New Roman" w:cs="Times New Roman"/>
          <w:b/>
          <w:sz w:val="20"/>
          <w:szCs w:val="20"/>
        </w:rPr>
      </w:pPr>
    </w:p>
    <w:p w:rsidR="00062F38" w:rsidRPr="00FE5415" w:rsidRDefault="007F183C"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To demonstrate </w:t>
      </w:r>
      <w:r w:rsidR="00352550" w:rsidRPr="00FE5415">
        <w:rPr>
          <w:rFonts w:ascii="Times New Roman" w:hAnsi="Times New Roman" w:cs="Times New Roman"/>
          <w:sz w:val="20"/>
          <w:szCs w:val="20"/>
        </w:rPr>
        <w:t>d</w:t>
      </w:r>
      <w:r w:rsidR="004C018E" w:rsidRPr="00FE5415">
        <w:rPr>
          <w:rFonts w:ascii="Times New Roman" w:hAnsi="Times New Roman" w:cs="Times New Roman"/>
          <w:sz w:val="20"/>
          <w:szCs w:val="20"/>
        </w:rPr>
        <w:t>ifferences between</w:t>
      </w:r>
      <w:r w:rsidR="00352550" w:rsidRPr="00FE5415">
        <w:rPr>
          <w:rFonts w:ascii="Times New Roman" w:hAnsi="Times New Roman" w:cs="Times New Roman"/>
          <w:sz w:val="20"/>
          <w:szCs w:val="20"/>
        </w:rPr>
        <w:t xml:space="preserve"> the various</w:t>
      </w:r>
      <w:r w:rsidR="004C018E" w:rsidRPr="00FE5415">
        <w:rPr>
          <w:rFonts w:ascii="Times New Roman" w:hAnsi="Times New Roman" w:cs="Times New Roman"/>
          <w:sz w:val="20"/>
          <w:szCs w:val="20"/>
        </w:rPr>
        <w:t xml:space="preserve"> types of data</w:t>
      </w:r>
      <w:r w:rsidRPr="00FE5415">
        <w:rPr>
          <w:rFonts w:ascii="Times New Roman" w:hAnsi="Times New Roman" w:cs="Times New Roman"/>
          <w:sz w:val="20"/>
          <w:szCs w:val="20"/>
        </w:rPr>
        <w:t xml:space="preserve">, refer to </w:t>
      </w:r>
      <w:r w:rsidRPr="00FE5415">
        <w:rPr>
          <w:rFonts w:ascii="Times New Roman" w:hAnsi="Times New Roman" w:cs="Times New Roman"/>
          <w:b/>
          <w:sz w:val="20"/>
          <w:szCs w:val="20"/>
        </w:rPr>
        <w:t xml:space="preserve">Table </w:t>
      </w:r>
      <w:r w:rsidR="00630C51" w:rsidRPr="00FE5415">
        <w:rPr>
          <w:rFonts w:ascii="Times New Roman" w:hAnsi="Times New Roman" w:cs="Times New Roman"/>
          <w:b/>
          <w:sz w:val="20"/>
          <w:szCs w:val="20"/>
        </w:rPr>
        <w:t>6</w:t>
      </w:r>
      <w:r w:rsidRPr="00FE5415">
        <w:rPr>
          <w:rFonts w:ascii="Times New Roman" w:hAnsi="Times New Roman" w:cs="Times New Roman"/>
          <w:sz w:val="20"/>
          <w:szCs w:val="20"/>
        </w:rPr>
        <w:t xml:space="preserve">. </w:t>
      </w:r>
      <w:r w:rsidR="00015E97" w:rsidRPr="00FE5415">
        <w:rPr>
          <w:rFonts w:ascii="Times New Roman" w:hAnsi="Times New Roman" w:cs="Times New Roman"/>
          <w:sz w:val="20"/>
          <w:szCs w:val="20"/>
        </w:rPr>
        <w:t>The 2007 ASEC mover rate was 13.2 percent, significantly lower than the 2006 estimate of 13.7</w:t>
      </w:r>
      <w:r w:rsidR="004C018E" w:rsidRPr="00FE5415">
        <w:rPr>
          <w:rFonts w:ascii="Times New Roman" w:hAnsi="Times New Roman" w:cs="Times New Roman"/>
          <w:sz w:val="20"/>
          <w:szCs w:val="20"/>
        </w:rPr>
        <w:t xml:space="preserve"> percent. </w:t>
      </w:r>
      <w:r w:rsidRPr="00FE5415">
        <w:rPr>
          <w:rFonts w:ascii="Times New Roman" w:hAnsi="Times New Roman" w:cs="Times New Roman"/>
          <w:sz w:val="20"/>
          <w:szCs w:val="20"/>
        </w:rPr>
        <w:t>The ACS</w:t>
      </w:r>
      <w:r w:rsidR="00EB2C94" w:rsidRPr="00FE5415">
        <w:rPr>
          <w:rFonts w:ascii="Times New Roman" w:hAnsi="Times New Roman" w:cs="Times New Roman"/>
          <w:sz w:val="20"/>
          <w:szCs w:val="20"/>
        </w:rPr>
        <w:t xml:space="preserve"> showed a </w:t>
      </w:r>
      <w:r w:rsidR="00AA3419" w:rsidRPr="00FE5415">
        <w:rPr>
          <w:rFonts w:ascii="Times New Roman" w:hAnsi="Times New Roman" w:cs="Times New Roman"/>
          <w:sz w:val="20"/>
          <w:szCs w:val="20"/>
        </w:rPr>
        <w:t>change in the same direction</w:t>
      </w:r>
      <w:r w:rsidR="00EB2C94" w:rsidRPr="00FE5415">
        <w:rPr>
          <w:rFonts w:ascii="Times New Roman" w:hAnsi="Times New Roman" w:cs="Times New Roman"/>
          <w:sz w:val="20"/>
          <w:szCs w:val="20"/>
        </w:rPr>
        <w:t>, decreasing from</w:t>
      </w:r>
      <w:r w:rsidRPr="00FE5415">
        <w:rPr>
          <w:rFonts w:ascii="Times New Roman" w:hAnsi="Times New Roman" w:cs="Times New Roman"/>
          <w:sz w:val="20"/>
          <w:szCs w:val="20"/>
        </w:rPr>
        <w:t xml:space="preserve"> 16.8 percent</w:t>
      </w:r>
      <w:r w:rsidR="00EB2C94" w:rsidRPr="00FE5415">
        <w:rPr>
          <w:rFonts w:ascii="Times New Roman" w:hAnsi="Times New Roman" w:cs="Times New Roman"/>
          <w:sz w:val="20"/>
          <w:szCs w:val="20"/>
        </w:rPr>
        <w:t xml:space="preserve"> in 2006 to 16.0 percent in 2007.</w:t>
      </w:r>
      <w:r w:rsidRPr="00FE5415">
        <w:rPr>
          <w:rFonts w:ascii="Times New Roman" w:hAnsi="Times New Roman" w:cs="Times New Roman"/>
          <w:sz w:val="20"/>
          <w:szCs w:val="20"/>
        </w:rPr>
        <w:t xml:space="preserve"> </w:t>
      </w:r>
      <w:r w:rsidR="005078B4" w:rsidRPr="00FE5415">
        <w:rPr>
          <w:rFonts w:ascii="Times New Roman" w:hAnsi="Times New Roman" w:cs="Times New Roman"/>
          <w:sz w:val="20"/>
          <w:szCs w:val="20"/>
        </w:rPr>
        <w:t xml:space="preserve">While the estimates and magnitudes of the change may differ, both record a significant decline in the mover rate between 2006 and 2007. </w:t>
      </w:r>
      <w:r w:rsidRPr="00FE5415">
        <w:rPr>
          <w:rFonts w:ascii="Times New Roman" w:hAnsi="Times New Roman" w:cs="Times New Roman"/>
          <w:sz w:val="20"/>
          <w:szCs w:val="20"/>
        </w:rPr>
        <w:t xml:space="preserve">This difference </w:t>
      </w:r>
      <w:r w:rsidR="00AA3419" w:rsidRPr="00FE5415">
        <w:rPr>
          <w:rFonts w:ascii="Times New Roman" w:hAnsi="Times New Roman" w:cs="Times New Roman"/>
          <w:sz w:val="20"/>
          <w:szCs w:val="20"/>
        </w:rPr>
        <w:t xml:space="preserve">between years </w:t>
      </w:r>
      <w:r w:rsidRPr="00FE5415">
        <w:rPr>
          <w:rFonts w:ascii="Times New Roman" w:hAnsi="Times New Roman" w:cs="Times New Roman"/>
          <w:sz w:val="20"/>
          <w:szCs w:val="20"/>
        </w:rPr>
        <w:t xml:space="preserve">may be due in part to movement caused by </w:t>
      </w:r>
      <w:r w:rsidR="008F7D66" w:rsidRPr="00FE5415">
        <w:rPr>
          <w:rFonts w:ascii="Times New Roman" w:hAnsi="Times New Roman" w:cs="Times New Roman"/>
          <w:sz w:val="20"/>
          <w:szCs w:val="20"/>
        </w:rPr>
        <w:t xml:space="preserve">the housing crisis and </w:t>
      </w:r>
      <w:r w:rsidR="00866667" w:rsidRPr="00FE5415">
        <w:rPr>
          <w:rFonts w:ascii="Times New Roman" w:hAnsi="Times New Roman" w:cs="Times New Roman"/>
          <w:sz w:val="20"/>
          <w:szCs w:val="20"/>
        </w:rPr>
        <w:t xml:space="preserve">displacement resulting from </w:t>
      </w:r>
      <w:r w:rsidRPr="00FE5415">
        <w:rPr>
          <w:rFonts w:ascii="Times New Roman" w:hAnsi="Times New Roman" w:cs="Times New Roman"/>
          <w:sz w:val="20"/>
          <w:szCs w:val="20"/>
        </w:rPr>
        <w:t>Hurricane Katrina and Rita.</w:t>
      </w:r>
    </w:p>
    <w:p w:rsidR="00EB2C94" w:rsidRPr="00FE5415" w:rsidRDefault="00EB2C94" w:rsidP="00FC74D8">
      <w:pPr>
        <w:spacing w:line="240" w:lineRule="auto"/>
        <w:contextualSpacing/>
        <w:rPr>
          <w:rFonts w:ascii="Times New Roman" w:hAnsi="Times New Roman" w:cs="Times New Roman"/>
          <w:sz w:val="20"/>
          <w:szCs w:val="20"/>
        </w:rPr>
      </w:pPr>
    </w:p>
    <w:p w:rsidR="00AD451D" w:rsidRPr="00FE5415" w:rsidRDefault="00B504AF" w:rsidP="00FC74D8">
      <w:pPr>
        <w:spacing w:line="240" w:lineRule="auto"/>
        <w:contextualSpacing/>
        <w:rPr>
          <w:rFonts w:ascii="Times New Roman" w:hAnsi="Times New Roman" w:cs="Times New Roman"/>
          <w:sz w:val="20"/>
          <w:szCs w:val="20"/>
        </w:rPr>
      </w:pPr>
      <w:r w:rsidRPr="00FE5415">
        <w:rPr>
          <w:noProof/>
        </w:rPr>
        <w:drawing>
          <wp:inline distT="0" distB="0" distL="0" distR="0" wp14:anchorId="2B99E2E9" wp14:editId="49A2DB69">
            <wp:extent cx="5943600" cy="1507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07687"/>
                    </a:xfrm>
                    <a:prstGeom prst="rect">
                      <a:avLst/>
                    </a:prstGeom>
                    <a:noFill/>
                    <a:ln>
                      <a:noFill/>
                    </a:ln>
                  </pic:spPr>
                </pic:pic>
              </a:graphicData>
            </a:graphic>
          </wp:inline>
        </w:drawing>
      </w:r>
    </w:p>
    <w:p w:rsidR="00B2498E" w:rsidRPr="00FE5415" w:rsidRDefault="00B2498E" w:rsidP="00FC74D8">
      <w:pPr>
        <w:spacing w:line="240" w:lineRule="auto"/>
        <w:contextualSpacing/>
        <w:rPr>
          <w:rFonts w:ascii="Times New Roman" w:hAnsi="Times New Roman" w:cs="Times New Roman"/>
          <w:sz w:val="20"/>
          <w:szCs w:val="20"/>
        </w:rPr>
      </w:pPr>
    </w:p>
    <w:p w:rsidR="00083A6F" w:rsidRPr="00FE5415" w:rsidRDefault="00AA3419"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Before moving on to the ACS 5-year multiyear estimate, </w:t>
      </w:r>
      <w:r w:rsidR="00F47E9B" w:rsidRPr="00FE5415">
        <w:rPr>
          <w:rFonts w:ascii="Times New Roman" w:hAnsi="Times New Roman" w:cs="Times New Roman"/>
          <w:sz w:val="20"/>
          <w:szCs w:val="20"/>
        </w:rPr>
        <w:t xml:space="preserve">we can examine the individual 1-year </w:t>
      </w:r>
      <w:r w:rsidR="009E1FC5" w:rsidRPr="00FE5415">
        <w:rPr>
          <w:rFonts w:ascii="Times New Roman" w:hAnsi="Times New Roman" w:cs="Times New Roman"/>
          <w:sz w:val="20"/>
          <w:szCs w:val="20"/>
        </w:rPr>
        <w:t xml:space="preserve">ACS </w:t>
      </w:r>
      <w:r w:rsidR="00F47E9B" w:rsidRPr="00FE5415">
        <w:rPr>
          <w:rFonts w:ascii="Times New Roman" w:hAnsi="Times New Roman" w:cs="Times New Roman"/>
          <w:sz w:val="20"/>
          <w:szCs w:val="20"/>
        </w:rPr>
        <w:t>estimates</w:t>
      </w:r>
      <w:r w:rsidR="009E1FC5" w:rsidRPr="00FE5415">
        <w:rPr>
          <w:rFonts w:ascii="Times New Roman" w:hAnsi="Times New Roman" w:cs="Times New Roman"/>
          <w:sz w:val="20"/>
          <w:szCs w:val="20"/>
        </w:rPr>
        <w:t xml:space="preserve"> for 2006 through 2010</w:t>
      </w:r>
      <w:r w:rsidR="00E407B3" w:rsidRPr="00FE5415">
        <w:rPr>
          <w:rFonts w:ascii="Times New Roman" w:hAnsi="Times New Roman" w:cs="Times New Roman"/>
          <w:sz w:val="20"/>
          <w:szCs w:val="20"/>
        </w:rPr>
        <w:t>, the years that comprise the 5-year estimate</w:t>
      </w:r>
      <w:r w:rsidR="009E1FC5" w:rsidRPr="00FE5415">
        <w:rPr>
          <w:rFonts w:ascii="Times New Roman" w:hAnsi="Times New Roman" w:cs="Times New Roman"/>
          <w:sz w:val="20"/>
          <w:szCs w:val="20"/>
        </w:rPr>
        <w:t xml:space="preserve">. As </w:t>
      </w:r>
      <w:r w:rsidR="009E1FC5" w:rsidRPr="00FE5415">
        <w:rPr>
          <w:rFonts w:ascii="Times New Roman" w:hAnsi="Times New Roman" w:cs="Times New Roman"/>
          <w:b/>
          <w:sz w:val="20"/>
          <w:szCs w:val="20"/>
        </w:rPr>
        <w:t xml:space="preserve">Table </w:t>
      </w:r>
      <w:r w:rsidR="00630C51" w:rsidRPr="00FE5415">
        <w:rPr>
          <w:rFonts w:ascii="Times New Roman" w:hAnsi="Times New Roman" w:cs="Times New Roman"/>
          <w:b/>
          <w:sz w:val="20"/>
          <w:szCs w:val="20"/>
        </w:rPr>
        <w:t>6</w:t>
      </w:r>
      <w:r w:rsidR="00630C51" w:rsidRPr="00FE5415">
        <w:rPr>
          <w:rFonts w:ascii="Times New Roman" w:hAnsi="Times New Roman" w:cs="Times New Roman"/>
          <w:sz w:val="20"/>
          <w:szCs w:val="20"/>
        </w:rPr>
        <w:t xml:space="preserve"> </w:t>
      </w:r>
      <w:r w:rsidR="009E1FC5" w:rsidRPr="00FE5415">
        <w:rPr>
          <w:rFonts w:ascii="Times New Roman" w:hAnsi="Times New Roman" w:cs="Times New Roman"/>
          <w:sz w:val="20"/>
          <w:szCs w:val="20"/>
        </w:rPr>
        <w:t>indicates, the range varies from 15.4 percent to 16.8 percent</w:t>
      </w:r>
      <w:r w:rsidR="004E1D66" w:rsidRPr="00FE5415">
        <w:rPr>
          <w:rFonts w:ascii="Times New Roman" w:hAnsi="Times New Roman" w:cs="Times New Roman"/>
          <w:sz w:val="20"/>
          <w:szCs w:val="20"/>
        </w:rPr>
        <w:t>, a 1.4 percentage point difference between the</w:t>
      </w:r>
      <w:r w:rsidR="00462D67" w:rsidRPr="00FE5415">
        <w:rPr>
          <w:rFonts w:ascii="Times New Roman" w:hAnsi="Times New Roman" w:cs="Times New Roman"/>
          <w:sz w:val="20"/>
          <w:szCs w:val="20"/>
        </w:rPr>
        <w:t xml:space="preserve"> highest and lowest mover rate.</w:t>
      </w:r>
      <w:r w:rsidR="00BD1B5C" w:rsidRPr="00FE5415">
        <w:rPr>
          <w:rFonts w:ascii="Times New Roman" w:hAnsi="Times New Roman" w:cs="Times New Roman"/>
          <w:sz w:val="20"/>
          <w:szCs w:val="20"/>
        </w:rPr>
        <w:t xml:space="preserve"> </w:t>
      </w:r>
      <w:r w:rsidR="00E407B3" w:rsidRPr="00FE5415">
        <w:rPr>
          <w:rFonts w:ascii="Times New Roman" w:hAnsi="Times New Roman" w:cs="Times New Roman"/>
          <w:sz w:val="20"/>
          <w:szCs w:val="20"/>
        </w:rPr>
        <w:t xml:space="preserve">When the data are pooled and reprocessed in order to create the 2006-2010 5-year multiyear estimates, any trace of the higher 2006 mover rate vanishes. </w:t>
      </w:r>
      <w:r w:rsidR="00BD1B5C" w:rsidRPr="00FE5415">
        <w:rPr>
          <w:rFonts w:ascii="Times New Roman" w:hAnsi="Times New Roman" w:cs="Times New Roman"/>
          <w:sz w:val="20"/>
          <w:szCs w:val="20"/>
        </w:rPr>
        <w:t xml:space="preserve"> </w:t>
      </w:r>
      <w:r w:rsidR="00E407B3" w:rsidRPr="00FE5415">
        <w:rPr>
          <w:rFonts w:ascii="Times New Roman" w:hAnsi="Times New Roman" w:cs="Times New Roman"/>
          <w:sz w:val="20"/>
          <w:szCs w:val="20"/>
        </w:rPr>
        <w:t xml:space="preserve">All that remains </w:t>
      </w:r>
      <w:r w:rsidR="00BD1B5C" w:rsidRPr="00FE5415">
        <w:rPr>
          <w:rFonts w:ascii="Times New Roman" w:hAnsi="Times New Roman" w:cs="Times New Roman"/>
          <w:sz w:val="20"/>
          <w:szCs w:val="20"/>
        </w:rPr>
        <w:t xml:space="preserve">is </w:t>
      </w:r>
      <w:r w:rsidR="00E407B3" w:rsidRPr="00FE5415">
        <w:rPr>
          <w:rFonts w:ascii="Times New Roman" w:hAnsi="Times New Roman" w:cs="Times New Roman"/>
          <w:sz w:val="20"/>
          <w:szCs w:val="20"/>
        </w:rPr>
        <w:t>a single mover rate across the years</w:t>
      </w:r>
      <w:r w:rsidR="00B77722" w:rsidRPr="00FE5415">
        <w:rPr>
          <w:rFonts w:ascii="Times New Roman" w:hAnsi="Times New Roman" w:cs="Times New Roman"/>
          <w:sz w:val="20"/>
          <w:szCs w:val="20"/>
        </w:rPr>
        <w:t xml:space="preserve">. </w:t>
      </w:r>
      <w:r w:rsidR="00DD713D" w:rsidRPr="00FE5415">
        <w:rPr>
          <w:rFonts w:ascii="Times New Roman" w:hAnsi="Times New Roman" w:cs="Times New Roman"/>
          <w:sz w:val="20"/>
          <w:szCs w:val="20"/>
        </w:rPr>
        <w:t>For example, t</w:t>
      </w:r>
      <w:r w:rsidR="00B77722" w:rsidRPr="00FE5415">
        <w:rPr>
          <w:rFonts w:ascii="Times New Roman" w:hAnsi="Times New Roman" w:cs="Times New Roman"/>
          <w:sz w:val="20"/>
          <w:szCs w:val="20"/>
        </w:rPr>
        <w:t xml:space="preserve">he 2006-2010 ACS 5-year multiyear estimate </w:t>
      </w:r>
      <w:r w:rsidR="00DD713D" w:rsidRPr="00FE5415">
        <w:rPr>
          <w:rFonts w:ascii="Times New Roman" w:hAnsi="Times New Roman" w:cs="Times New Roman"/>
          <w:sz w:val="20"/>
          <w:szCs w:val="20"/>
        </w:rPr>
        <w:t>was</w:t>
      </w:r>
      <w:r w:rsidR="00B77722" w:rsidRPr="00FE5415">
        <w:rPr>
          <w:rFonts w:ascii="Times New Roman" w:hAnsi="Times New Roman" w:cs="Times New Roman"/>
          <w:sz w:val="20"/>
          <w:szCs w:val="20"/>
        </w:rPr>
        <w:t xml:space="preserve"> 15.8 percent</w:t>
      </w:r>
      <w:r w:rsidR="00DD713D" w:rsidRPr="00FE5415">
        <w:rPr>
          <w:rFonts w:ascii="Times New Roman" w:hAnsi="Times New Roman" w:cs="Times New Roman"/>
          <w:sz w:val="20"/>
          <w:szCs w:val="20"/>
        </w:rPr>
        <w:t>,</w:t>
      </w:r>
      <w:r w:rsidR="00B77722" w:rsidRPr="00FE5415">
        <w:rPr>
          <w:rFonts w:ascii="Times New Roman" w:hAnsi="Times New Roman" w:cs="Times New Roman"/>
          <w:sz w:val="20"/>
          <w:szCs w:val="20"/>
        </w:rPr>
        <w:t xml:space="preserve"> considerably lower than the 2006 1-year estimate of 16.8 percent. </w:t>
      </w:r>
      <w:r w:rsidR="00E407B3" w:rsidRPr="00FE5415">
        <w:rPr>
          <w:rFonts w:ascii="Times New Roman" w:hAnsi="Times New Roman" w:cs="Times New Roman"/>
          <w:sz w:val="20"/>
          <w:szCs w:val="20"/>
        </w:rPr>
        <w:t>As far as interpretation, the 15.8 percent can be thought of as the percentage of people who moved</w:t>
      </w:r>
      <w:r w:rsidR="007F452D" w:rsidRPr="00FE5415">
        <w:rPr>
          <w:rFonts w:ascii="Times New Roman" w:hAnsi="Times New Roman" w:cs="Times New Roman"/>
          <w:sz w:val="20"/>
          <w:szCs w:val="20"/>
        </w:rPr>
        <w:t xml:space="preserve"> over</w:t>
      </w:r>
      <w:r w:rsidR="00E407B3" w:rsidRPr="00FE5415">
        <w:rPr>
          <w:rFonts w:ascii="Times New Roman" w:hAnsi="Times New Roman" w:cs="Times New Roman"/>
          <w:sz w:val="20"/>
          <w:szCs w:val="20"/>
        </w:rPr>
        <w:t xml:space="preserve"> a 12 month, or 1 year, period at any point between 2006 and 2010. Stated more simply, </w:t>
      </w:r>
      <w:r w:rsidR="007F452D" w:rsidRPr="00FE5415">
        <w:rPr>
          <w:rFonts w:ascii="Times New Roman" w:hAnsi="Times New Roman" w:cs="Times New Roman"/>
          <w:sz w:val="20"/>
          <w:szCs w:val="20"/>
        </w:rPr>
        <w:t xml:space="preserve">the number represents </w:t>
      </w:r>
      <w:r w:rsidR="00B77722" w:rsidRPr="00FE5415">
        <w:rPr>
          <w:rFonts w:ascii="Times New Roman" w:hAnsi="Times New Roman" w:cs="Times New Roman"/>
          <w:sz w:val="20"/>
          <w:szCs w:val="20"/>
        </w:rPr>
        <w:t xml:space="preserve">an average of movers over 1 year. </w:t>
      </w:r>
    </w:p>
    <w:p w:rsidR="004F66CA" w:rsidRPr="00FE5415" w:rsidRDefault="004F66CA" w:rsidP="00FC74D8">
      <w:pPr>
        <w:spacing w:line="240" w:lineRule="auto"/>
        <w:ind w:firstLine="720"/>
        <w:contextualSpacing/>
        <w:rPr>
          <w:rFonts w:ascii="Times New Roman" w:hAnsi="Times New Roman" w:cs="Times New Roman"/>
          <w:sz w:val="20"/>
          <w:szCs w:val="20"/>
        </w:rPr>
      </w:pPr>
    </w:p>
    <w:p w:rsidR="00BA1BCC" w:rsidRPr="00FE5415" w:rsidRDefault="000632A4" w:rsidP="00FC74D8">
      <w:pPr>
        <w:spacing w:line="240" w:lineRule="auto"/>
        <w:contextualSpacing/>
        <w:rPr>
          <w:rFonts w:ascii="Times New Roman" w:hAnsi="Times New Roman" w:cs="Times New Roman"/>
          <w:b/>
          <w:sz w:val="20"/>
          <w:szCs w:val="20"/>
        </w:rPr>
      </w:pPr>
      <w:r w:rsidRPr="00FE5415">
        <w:rPr>
          <w:rFonts w:ascii="Times New Roman" w:hAnsi="Times New Roman" w:cs="Times New Roman"/>
          <w:b/>
          <w:sz w:val="20"/>
          <w:szCs w:val="20"/>
        </w:rPr>
        <w:t>Conclusion and Future Research</w:t>
      </w:r>
    </w:p>
    <w:p w:rsidR="00A452E7" w:rsidRPr="00FE5415" w:rsidRDefault="00A452E7" w:rsidP="00FC74D8">
      <w:pPr>
        <w:spacing w:line="240" w:lineRule="auto"/>
        <w:contextualSpacing/>
        <w:rPr>
          <w:rFonts w:ascii="Times New Roman" w:hAnsi="Times New Roman" w:cs="Times New Roman"/>
          <w:b/>
          <w:sz w:val="20"/>
          <w:szCs w:val="20"/>
        </w:rPr>
      </w:pPr>
    </w:p>
    <w:p w:rsidR="00A80801" w:rsidRPr="00FE5415" w:rsidRDefault="00CD2E6E"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This paper built on previous work conducted by Koerber</w:t>
      </w:r>
      <w:r w:rsidR="009C5465">
        <w:rPr>
          <w:rFonts w:ascii="Times New Roman" w:hAnsi="Times New Roman" w:cs="Times New Roman"/>
          <w:sz w:val="20"/>
          <w:szCs w:val="20"/>
        </w:rPr>
        <w:t xml:space="preserve"> in 2007</w:t>
      </w:r>
      <w:r w:rsidRPr="00FE5415">
        <w:rPr>
          <w:rFonts w:ascii="Times New Roman" w:hAnsi="Times New Roman" w:cs="Times New Roman"/>
          <w:sz w:val="20"/>
          <w:szCs w:val="20"/>
        </w:rPr>
        <w:t>.</w:t>
      </w:r>
      <w:r w:rsidR="00E56364" w:rsidRPr="00FE5415">
        <w:rPr>
          <w:rFonts w:ascii="Times New Roman" w:hAnsi="Times New Roman" w:cs="Times New Roman"/>
          <w:sz w:val="20"/>
          <w:szCs w:val="20"/>
        </w:rPr>
        <w:t xml:space="preserve"> Many things have changed in each survey, yet mover rates continue </w:t>
      </w:r>
      <w:r w:rsidR="00E4719A" w:rsidRPr="00FE5415">
        <w:rPr>
          <w:rFonts w:ascii="Times New Roman" w:hAnsi="Times New Roman" w:cs="Times New Roman"/>
          <w:sz w:val="20"/>
          <w:szCs w:val="20"/>
        </w:rPr>
        <w:t xml:space="preserve">to </w:t>
      </w:r>
      <w:r w:rsidR="00E56364" w:rsidRPr="00FE5415">
        <w:rPr>
          <w:rFonts w:ascii="Times New Roman" w:hAnsi="Times New Roman" w:cs="Times New Roman"/>
          <w:sz w:val="20"/>
          <w:szCs w:val="20"/>
        </w:rPr>
        <w:t xml:space="preserve">diverge. Several </w:t>
      </w:r>
      <w:r w:rsidR="008A15B2" w:rsidRPr="00FE5415">
        <w:rPr>
          <w:rFonts w:ascii="Times New Roman" w:hAnsi="Times New Roman" w:cs="Times New Roman"/>
          <w:sz w:val="20"/>
          <w:szCs w:val="20"/>
        </w:rPr>
        <w:t xml:space="preserve">possible </w:t>
      </w:r>
      <w:r w:rsidR="00E56364" w:rsidRPr="00FE5415">
        <w:rPr>
          <w:rFonts w:ascii="Times New Roman" w:hAnsi="Times New Roman" w:cs="Times New Roman"/>
          <w:sz w:val="20"/>
          <w:szCs w:val="20"/>
        </w:rPr>
        <w:t>contributing factors were highlighted throughout this paper.</w:t>
      </w:r>
      <w:r w:rsidR="00EE332F" w:rsidRPr="00FE5415">
        <w:rPr>
          <w:rFonts w:ascii="Times New Roman" w:hAnsi="Times New Roman" w:cs="Times New Roman"/>
          <w:sz w:val="20"/>
          <w:szCs w:val="20"/>
        </w:rPr>
        <w:t xml:space="preserve"> </w:t>
      </w:r>
      <w:r w:rsidR="00B07A8C" w:rsidRPr="00FE5415">
        <w:rPr>
          <w:rFonts w:ascii="Times New Roman" w:hAnsi="Times New Roman" w:cs="Times New Roman"/>
          <w:sz w:val="20"/>
          <w:szCs w:val="20"/>
        </w:rPr>
        <w:t>They include differences in questionnaire wording, residency rules, population universes, modes of data collection</w:t>
      </w:r>
      <w:r w:rsidR="007F223C" w:rsidRPr="00FE5415">
        <w:rPr>
          <w:rFonts w:ascii="Times New Roman" w:hAnsi="Times New Roman" w:cs="Times New Roman"/>
          <w:sz w:val="20"/>
          <w:szCs w:val="20"/>
        </w:rPr>
        <w:t xml:space="preserve"> and differences within modes between surveys</w:t>
      </w:r>
      <w:r w:rsidR="00B07A8C" w:rsidRPr="00FE5415">
        <w:rPr>
          <w:rFonts w:ascii="Times New Roman" w:hAnsi="Times New Roman" w:cs="Times New Roman"/>
          <w:sz w:val="20"/>
          <w:szCs w:val="20"/>
        </w:rPr>
        <w:t xml:space="preserve">, reference periods, </w:t>
      </w:r>
      <w:r w:rsidR="007F223C" w:rsidRPr="00FE5415">
        <w:rPr>
          <w:rFonts w:ascii="Times New Roman" w:hAnsi="Times New Roman" w:cs="Times New Roman"/>
          <w:sz w:val="20"/>
          <w:szCs w:val="20"/>
        </w:rPr>
        <w:t>nonresponse and allocation rates, sample design and county coverage, and sampling frames.</w:t>
      </w:r>
      <w:r w:rsidR="00B07A8C" w:rsidRPr="00FE5415">
        <w:rPr>
          <w:rFonts w:ascii="Times New Roman" w:hAnsi="Times New Roman" w:cs="Times New Roman"/>
          <w:sz w:val="20"/>
          <w:szCs w:val="20"/>
        </w:rPr>
        <w:t xml:space="preserve"> </w:t>
      </w:r>
      <w:r w:rsidR="00B67577" w:rsidRPr="00FE5415">
        <w:rPr>
          <w:rFonts w:ascii="Times New Roman" w:hAnsi="Times New Roman" w:cs="Times New Roman"/>
          <w:sz w:val="20"/>
          <w:szCs w:val="20"/>
        </w:rPr>
        <w:t>The best conclusion we can provide is that t</w:t>
      </w:r>
      <w:r w:rsidR="00EE332F" w:rsidRPr="00FE5415">
        <w:rPr>
          <w:rFonts w:ascii="Times New Roman" w:hAnsi="Times New Roman" w:cs="Times New Roman"/>
          <w:sz w:val="20"/>
          <w:szCs w:val="20"/>
        </w:rPr>
        <w:t>here is not a simple, single answer explainin</w:t>
      </w:r>
      <w:r w:rsidR="00C14DDB" w:rsidRPr="00FE5415">
        <w:rPr>
          <w:rFonts w:ascii="Times New Roman" w:hAnsi="Times New Roman" w:cs="Times New Roman"/>
          <w:sz w:val="20"/>
          <w:szCs w:val="20"/>
        </w:rPr>
        <w:t>g why mover rates do not match. The</w:t>
      </w:r>
      <w:r w:rsidR="00D45F2C" w:rsidRPr="00FE5415">
        <w:rPr>
          <w:rFonts w:ascii="Times New Roman" w:hAnsi="Times New Roman" w:cs="Times New Roman"/>
          <w:sz w:val="20"/>
          <w:szCs w:val="20"/>
        </w:rPr>
        <w:t xml:space="preserve"> ACS and ASEC </w:t>
      </w:r>
      <w:r w:rsidR="00C14DDB" w:rsidRPr="00FE5415">
        <w:rPr>
          <w:rFonts w:ascii="Times New Roman" w:hAnsi="Times New Roman" w:cs="Times New Roman"/>
          <w:sz w:val="20"/>
          <w:szCs w:val="20"/>
        </w:rPr>
        <w:t xml:space="preserve">are two surveys with </w:t>
      </w:r>
      <w:r w:rsidR="0017112E" w:rsidRPr="00FE5415">
        <w:rPr>
          <w:rFonts w:ascii="Times New Roman" w:hAnsi="Times New Roman" w:cs="Times New Roman"/>
          <w:sz w:val="20"/>
          <w:szCs w:val="20"/>
        </w:rPr>
        <w:t>many</w:t>
      </w:r>
      <w:r w:rsidR="00C14DDB" w:rsidRPr="00FE5415">
        <w:rPr>
          <w:rFonts w:ascii="Times New Roman" w:hAnsi="Times New Roman" w:cs="Times New Roman"/>
          <w:sz w:val="20"/>
          <w:szCs w:val="20"/>
        </w:rPr>
        <w:t xml:space="preserve"> little differences</w:t>
      </w:r>
      <w:r w:rsidR="00577AC7" w:rsidRPr="00FE5415">
        <w:rPr>
          <w:rFonts w:ascii="Times New Roman" w:hAnsi="Times New Roman" w:cs="Times New Roman"/>
          <w:sz w:val="20"/>
          <w:szCs w:val="20"/>
        </w:rPr>
        <w:t>, all of which likely contribute to any observable difference.</w:t>
      </w:r>
      <w:r w:rsidR="00647B3E" w:rsidRPr="00FE5415">
        <w:rPr>
          <w:rFonts w:ascii="Times New Roman" w:hAnsi="Times New Roman" w:cs="Times New Roman"/>
          <w:sz w:val="20"/>
          <w:szCs w:val="20"/>
        </w:rPr>
        <w:t xml:space="preserve"> </w:t>
      </w:r>
    </w:p>
    <w:p w:rsidR="00A80801" w:rsidRPr="00FE5415" w:rsidRDefault="00A80801" w:rsidP="00FC74D8">
      <w:pPr>
        <w:spacing w:line="240" w:lineRule="auto"/>
        <w:contextualSpacing/>
        <w:rPr>
          <w:rFonts w:ascii="Times New Roman" w:hAnsi="Times New Roman" w:cs="Times New Roman"/>
          <w:sz w:val="20"/>
          <w:szCs w:val="20"/>
        </w:rPr>
      </w:pPr>
    </w:p>
    <w:p w:rsidR="004F66CA" w:rsidRPr="00FE5415" w:rsidRDefault="00325584" w:rsidP="00FC74D8">
      <w:pPr>
        <w:spacing w:line="240" w:lineRule="auto"/>
        <w:contextualSpacing/>
        <w:rPr>
          <w:rFonts w:ascii="Times New Roman" w:hAnsi="Times New Roman" w:cs="Times New Roman"/>
          <w:sz w:val="20"/>
          <w:szCs w:val="20"/>
        </w:rPr>
      </w:pPr>
      <w:r w:rsidRPr="00FE5415">
        <w:rPr>
          <w:rFonts w:ascii="Times New Roman" w:hAnsi="Times New Roman" w:cs="Times New Roman"/>
          <w:sz w:val="20"/>
          <w:szCs w:val="20"/>
        </w:rPr>
        <w:t xml:space="preserve">There are several options for future research. </w:t>
      </w:r>
      <w:r w:rsidR="00F16E88" w:rsidRPr="00FE5415">
        <w:rPr>
          <w:rFonts w:ascii="Times New Roman" w:hAnsi="Times New Roman" w:cs="Times New Roman"/>
          <w:sz w:val="20"/>
          <w:szCs w:val="20"/>
        </w:rPr>
        <w:t>Possibilities</w:t>
      </w:r>
      <w:r w:rsidR="00E4719A" w:rsidRPr="00FE5415">
        <w:rPr>
          <w:rFonts w:ascii="Times New Roman" w:hAnsi="Times New Roman" w:cs="Times New Roman"/>
          <w:sz w:val="20"/>
          <w:szCs w:val="20"/>
        </w:rPr>
        <w:t xml:space="preserve"> </w:t>
      </w:r>
      <w:r w:rsidR="00F16E88" w:rsidRPr="00FE5415">
        <w:rPr>
          <w:rFonts w:ascii="Times New Roman" w:hAnsi="Times New Roman" w:cs="Times New Roman"/>
          <w:sz w:val="20"/>
          <w:szCs w:val="20"/>
        </w:rPr>
        <w:t>include</w:t>
      </w:r>
      <w:r w:rsidR="00B67577" w:rsidRPr="00FE5415">
        <w:rPr>
          <w:rFonts w:ascii="Times New Roman" w:hAnsi="Times New Roman" w:cs="Times New Roman"/>
          <w:sz w:val="20"/>
          <w:szCs w:val="20"/>
        </w:rPr>
        <w:t>:</w:t>
      </w:r>
      <w:r w:rsidR="00F16E88" w:rsidRPr="00FE5415">
        <w:rPr>
          <w:rFonts w:ascii="Times New Roman" w:hAnsi="Times New Roman" w:cs="Times New Roman"/>
          <w:sz w:val="20"/>
          <w:szCs w:val="20"/>
        </w:rPr>
        <w:t xml:space="preserve"> analyzing the coverage of the millennial generation in each survey, which </w:t>
      </w:r>
      <w:r w:rsidR="00B67577" w:rsidRPr="00FE5415">
        <w:rPr>
          <w:rFonts w:ascii="Times New Roman" w:hAnsi="Times New Roman" w:cs="Times New Roman"/>
          <w:sz w:val="20"/>
          <w:szCs w:val="20"/>
        </w:rPr>
        <w:t>would likely impact mover rates;</w:t>
      </w:r>
      <w:r w:rsidR="00F16E88" w:rsidRPr="00FE5415">
        <w:rPr>
          <w:rFonts w:ascii="Times New Roman" w:hAnsi="Times New Roman" w:cs="Times New Roman"/>
          <w:sz w:val="20"/>
          <w:szCs w:val="20"/>
        </w:rPr>
        <w:t xml:space="preserve"> </w:t>
      </w:r>
      <w:r w:rsidR="00B67577" w:rsidRPr="00FE5415">
        <w:rPr>
          <w:rFonts w:ascii="Times New Roman" w:hAnsi="Times New Roman" w:cs="Times New Roman"/>
          <w:sz w:val="20"/>
          <w:szCs w:val="20"/>
        </w:rPr>
        <w:t>co</w:t>
      </w:r>
      <w:r w:rsidR="00A04E44" w:rsidRPr="00FE5415">
        <w:rPr>
          <w:rFonts w:ascii="Times New Roman" w:hAnsi="Times New Roman" w:cs="Times New Roman"/>
          <w:sz w:val="20"/>
          <w:szCs w:val="20"/>
        </w:rPr>
        <w:t>mparing migration estimates betw</w:t>
      </w:r>
      <w:r w:rsidR="00B67577" w:rsidRPr="00FE5415">
        <w:rPr>
          <w:rFonts w:ascii="Times New Roman" w:hAnsi="Times New Roman" w:cs="Times New Roman"/>
          <w:sz w:val="20"/>
          <w:szCs w:val="20"/>
        </w:rPr>
        <w:t>een other Census Bureau surveys</w:t>
      </w:r>
      <w:r w:rsidR="00C04866">
        <w:rPr>
          <w:rFonts w:ascii="Times New Roman" w:hAnsi="Times New Roman" w:cs="Times New Roman"/>
          <w:sz w:val="20"/>
          <w:szCs w:val="20"/>
        </w:rPr>
        <w:t xml:space="preserve"> such as the American Housing Survey and Survey of Income and Program Participation</w:t>
      </w:r>
      <w:r w:rsidR="00B67577" w:rsidRPr="00FE5415">
        <w:rPr>
          <w:rFonts w:ascii="Times New Roman" w:hAnsi="Times New Roman" w:cs="Times New Roman"/>
          <w:sz w:val="20"/>
          <w:szCs w:val="20"/>
        </w:rPr>
        <w:t>;</w:t>
      </w:r>
      <w:r w:rsidR="00A04E44" w:rsidRPr="00FE5415">
        <w:rPr>
          <w:rFonts w:ascii="Times New Roman" w:hAnsi="Times New Roman" w:cs="Times New Roman"/>
          <w:sz w:val="20"/>
          <w:szCs w:val="20"/>
        </w:rPr>
        <w:t xml:space="preserve"> </w:t>
      </w:r>
      <w:r w:rsidR="001D3C02" w:rsidRPr="00FE5415">
        <w:rPr>
          <w:rFonts w:ascii="Times New Roman" w:hAnsi="Times New Roman" w:cs="Times New Roman"/>
          <w:sz w:val="20"/>
          <w:szCs w:val="20"/>
        </w:rPr>
        <w:t xml:space="preserve">comparing survey results to </w:t>
      </w:r>
      <w:r w:rsidR="00A04E44" w:rsidRPr="00FE5415">
        <w:rPr>
          <w:rFonts w:ascii="Times New Roman" w:hAnsi="Times New Roman" w:cs="Times New Roman"/>
          <w:sz w:val="20"/>
          <w:szCs w:val="20"/>
        </w:rPr>
        <w:t>administrative r</w:t>
      </w:r>
      <w:r w:rsidR="001D3C02" w:rsidRPr="00FE5415">
        <w:rPr>
          <w:rFonts w:ascii="Times New Roman" w:hAnsi="Times New Roman" w:cs="Times New Roman"/>
          <w:sz w:val="20"/>
          <w:szCs w:val="20"/>
        </w:rPr>
        <w:t>ecords;</w:t>
      </w:r>
      <w:r w:rsidR="00B67577" w:rsidRPr="00FE5415">
        <w:rPr>
          <w:rFonts w:ascii="Times New Roman" w:hAnsi="Times New Roman" w:cs="Times New Roman"/>
          <w:sz w:val="20"/>
          <w:szCs w:val="20"/>
        </w:rPr>
        <w:t xml:space="preserve"> </w:t>
      </w:r>
      <w:r w:rsidR="001D3C02" w:rsidRPr="00FE5415">
        <w:rPr>
          <w:rFonts w:ascii="Times New Roman" w:hAnsi="Times New Roman" w:cs="Times New Roman"/>
          <w:sz w:val="20"/>
          <w:szCs w:val="20"/>
        </w:rPr>
        <w:t xml:space="preserve">survey results </w:t>
      </w:r>
      <w:r w:rsidR="007C6EF7" w:rsidRPr="00FE5415">
        <w:rPr>
          <w:rFonts w:ascii="Times New Roman" w:hAnsi="Times New Roman" w:cs="Times New Roman"/>
          <w:sz w:val="20"/>
          <w:szCs w:val="20"/>
        </w:rPr>
        <w:t>compared to</w:t>
      </w:r>
      <w:r w:rsidR="006F1DB3" w:rsidRPr="00FE5415">
        <w:rPr>
          <w:rFonts w:ascii="Times New Roman" w:hAnsi="Times New Roman" w:cs="Times New Roman"/>
          <w:sz w:val="20"/>
          <w:szCs w:val="20"/>
        </w:rPr>
        <w:t xml:space="preserve"> population estimates</w:t>
      </w:r>
      <w:r w:rsidR="007C6EF7" w:rsidRPr="00FE5415">
        <w:rPr>
          <w:rFonts w:ascii="Times New Roman" w:hAnsi="Times New Roman" w:cs="Times New Roman"/>
          <w:sz w:val="20"/>
          <w:szCs w:val="20"/>
        </w:rPr>
        <w:t xml:space="preserve">; and how </w:t>
      </w:r>
      <w:r w:rsidR="00B078C4" w:rsidRPr="00FE5415">
        <w:rPr>
          <w:rFonts w:ascii="Times New Roman" w:hAnsi="Times New Roman" w:cs="Times New Roman"/>
          <w:sz w:val="20"/>
          <w:szCs w:val="20"/>
        </w:rPr>
        <w:t xml:space="preserve">non-Census Bureau </w:t>
      </w:r>
      <w:r w:rsidR="007C6EF7" w:rsidRPr="00FE5415">
        <w:rPr>
          <w:rFonts w:ascii="Times New Roman" w:hAnsi="Times New Roman" w:cs="Times New Roman"/>
          <w:sz w:val="20"/>
          <w:szCs w:val="20"/>
        </w:rPr>
        <w:t>migration data</w:t>
      </w:r>
      <w:r w:rsidR="00B078C4" w:rsidRPr="00FE5415">
        <w:rPr>
          <w:rFonts w:ascii="Times New Roman" w:hAnsi="Times New Roman" w:cs="Times New Roman"/>
          <w:sz w:val="20"/>
          <w:szCs w:val="20"/>
        </w:rPr>
        <w:t>, such as moving companies,</w:t>
      </w:r>
      <w:r w:rsidR="007C6EF7" w:rsidRPr="00FE5415">
        <w:rPr>
          <w:rFonts w:ascii="Times New Roman" w:hAnsi="Times New Roman" w:cs="Times New Roman"/>
          <w:sz w:val="20"/>
          <w:szCs w:val="20"/>
        </w:rPr>
        <w:t xml:space="preserve"> compares to survey data</w:t>
      </w:r>
      <w:r w:rsidR="006F1DB3" w:rsidRPr="00FE5415">
        <w:rPr>
          <w:rFonts w:ascii="Times New Roman" w:hAnsi="Times New Roman" w:cs="Times New Roman"/>
          <w:sz w:val="20"/>
          <w:szCs w:val="20"/>
        </w:rPr>
        <w:t xml:space="preserve">. </w:t>
      </w:r>
      <w:r w:rsidR="00E348F7" w:rsidRPr="00FE5415">
        <w:rPr>
          <w:rFonts w:ascii="Times New Roman" w:hAnsi="Times New Roman" w:cs="Times New Roman"/>
          <w:sz w:val="20"/>
          <w:szCs w:val="20"/>
        </w:rPr>
        <w:t xml:space="preserve">None of these </w:t>
      </w:r>
      <w:r w:rsidR="001D3C02" w:rsidRPr="00FE5415">
        <w:rPr>
          <w:rFonts w:ascii="Times New Roman" w:hAnsi="Times New Roman" w:cs="Times New Roman"/>
          <w:sz w:val="20"/>
          <w:szCs w:val="20"/>
        </w:rPr>
        <w:t xml:space="preserve">topics </w:t>
      </w:r>
      <w:r w:rsidR="00E348F7" w:rsidRPr="00FE5415">
        <w:rPr>
          <w:rFonts w:ascii="Times New Roman" w:hAnsi="Times New Roman" w:cs="Times New Roman"/>
          <w:sz w:val="20"/>
          <w:szCs w:val="20"/>
        </w:rPr>
        <w:t xml:space="preserve">have been thoroughly documented and discussed in a public </w:t>
      </w:r>
      <w:r w:rsidR="00B078C4" w:rsidRPr="00FE5415">
        <w:rPr>
          <w:rFonts w:ascii="Times New Roman" w:hAnsi="Times New Roman" w:cs="Times New Roman"/>
          <w:sz w:val="20"/>
          <w:szCs w:val="20"/>
        </w:rPr>
        <w:t>forum</w:t>
      </w:r>
      <w:r w:rsidR="00E348F7" w:rsidRPr="00FE5415">
        <w:rPr>
          <w:rFonts w:ascii="Times New Roman" w:hAnsi="Times New Roman" w:cs="Times New Roman"/>
          <w:sz w:val="20"/>
          <w:szCs w:val="20"/>
        </w:rPr>
        <w:t xml:space="preserve">, a task that is long overdue. </w:t>
      </w:r>
    </w:p>
    <w:p w:rsidR="00F749D8" w:rsidRPr="00FE5415" w:rsidRDefault="00F749D8" w:rsidP="00FC74D8">
      <w:pPr>
        <w:spacing w:line="240" w:lineRule="auto"/>
        <w:contextualSpacing/>
      </w:pPr>
    </w:p>
    <w:p w:rsidR="004F66CA" w:rsidRPr="00FE5415" w:rsidRDefault="004F66CA" w:rsidP="00FC74D8">
      <w:pPr>
        <w:spacing w:line="240" w:lineRule="auto"/>
      </w:pPr>
      <w:r w:rsidRPr="00FE5415">
        <w:br w:type="page"/>
      </w:r>
    </w:p>
    <w:p w:rsidR="00232F45" w:rsidRPr="005E4F9E" w:rsidRDefault="008D3EAE" w:rsidP="00FC74D8">
      <w:pPr>
        <w:spacing w:line="240" w:lineRule="auto"/>
        <w:contextualSpacing/>
        <w:rPr>
          <w:rFonts w:ascii="Times New Roman" w:hAnsi="Times New Roman" w:cs="Times New Roman"/>
          <w:b/>
          <w:sz w:val="20"/>
          <w:szCs w:val="20"/>
        </w:rPr>
      </w:pPr>
      <w:r w:rsidRPr="005E4F9E">
        <w:rPr>
          <w:rFonts w:ascii="Times New Roman" w:hAnsi="Times New Roman" w:cs="Times New Roman"/>
          <w:b/>
          <w:sz w:val="20"/>
          <w:szCs w:val="20"/>
        </w:rPr>
        <w:t>REFERENCES</w:t>
      </w:r>
    </w:p>
    <w:p w:rsidR="00A452E7" w:rsidRPr="005E4F9E" w:rsidRDefault="00A452E7" w:rsidP="00FC74D8">
      <w:pPr>
        <w:spacing w:line="240" w:lineRule="auto"/>
        <w:contextualSpacing/>
        <w:jc w:val="center"/>
        <w:rPr>
          <w:rFonts w:ascii="Times New Roman" w:hAnsi="Times New Roman" w:cs="Times New Roman"/>
          <w:sz w:val="20"/>
          <w:szCs w:val="20"/>
        </w:rPr>
      </w:pPr>
    </w:p>
    <w:p w:rsidR="00AF4E1A" w:rsidRPr="005E4F9E" w:rsidRDefault="00232F45" w:rsidP="00FC74D8">
      <w:pPr>
        <w:spacing w:line="240" w:lineRule="auto"/>
        <w:rPr>
          <w:rFonts w:ascii="Times New Roman" w:hAnsi="Times New Roman" w:cs="Times New Roman"/>
          <w:sz w:val="20"/>
          <w:szCs w:val="20"/>
        </w:rPr>
      </w:pPr>
      <w:r w:rsidRPr="005E4F9E">
        <w:rPr>
          <w:rFonts w:ascii="Times New Roman" w:hAnsi="Times New Roman" w:cs="Times New Roman"/>
          <w:sz w:val="20"/>
          <w:szCs w:val="20"/>
        </w:rPr>
        <w:t>Bortlein,</w:t>
      </w:r>
      <w:r w:rsidR="00174802">
        <w:rPr>
          <w:rFonts w:ascii="Times New Roman" w:hAnsi="Times New Roman" w:cs="Times New Roman"/>
          <w:sz w:val="20"/>
          <w:szCs w:val="20"/>
        </w:rPr>
        <w:t xml:space="preserve"> Celia G. and Alan K. Peterson.</w:t>
      </w:r>
      <w:r w:rsidRPr="005E4F9E">
        <w:rPr>
          <w:rFonts w:ascii="Times New Roman" w:hAnsi="Times New Roman" w:cs="Times New Roman"/>
          <w:sz w:val="20"/>
          <w:szCs w:val="20"/>
        </w:rPr>
        <w:t xml:space="preserve"> </w:t>
      </w:r>
      <w:r w:rsidR="00174802">
        <w:rPr>
          <w:rFonts w:ascii="Times New Roman" w:hAnsi="Times New Roman" w:cs="Times New Roman"/>
          <w:sz w:val="20"/>
          <w:szCs w:val="20"/>
        </w:rPr>
        <w:t xml:space="preserve">2007. </w:t>
      </w:r>
      <w:r w:rsidRPr="005E4F9E">
        <w:rPr>
          <w:rFonts w:ascii="Times New Roman" w:hAnsi="Times New Roman" w:cs="Times New Roman"/>
          <w:i/>
          <w:sz w:val="20"/>
          <w:szCs w:val="20"/>
        </w:rPr>
        <w:t>Evaluation Report Covering Residence 1 Year Ago</w:t>
      </w:r>
      <w:r w:rsidRPr="005E4F9E">
        <w:rPr>
          <w:rFonts w:ascii="Times New Roman" w:hAnsi="Times New Roman" w:cs="Times New Roman"/>
          <w:sz w:val="20"/>
          <w:szCs w:val="20"/>
        </w:rPr>
        <w:t>.</w:t>
      </w:r>
    </w:p>
    <w:p w:rsidR="00AF4E1A" w:rsidRPr="005E4F9E" w:rsidRDefault="005C4A26" w:rsidP="00FC74D8">
      <w:pPr>
        <w:spacing w:line="240" w:lineRule="auto"/>
        <w:rPr>
          <w:rFonts w:ascii="Times New Roman" w:eastAsia="Times New Roman" w:hAnsi="Times New Roman" w:cs="Times New Roman"/>
          <w:sz w:val="20"/>
          <w:szCs w:val="20"/>
        </w:rPr>
      </w:pPr>
      <w:r w:rsidRPr="00BB7FA6">
        <w:rPr>
          <w:rFonts w:ascii="Times New Roman" w:hAnsi="Times New Roman" w:cs="Times New Roman"/>
          <w:sz w:val="20"/>
          <w:szCs w:val="20"/>
        </w:rPr>
        <w:t xml:space="preserve">Ihrke, David K. </w:t>
      </w:r>
      <w:r w:rsidR="00057E1F" w:rsidRPr="00D231D0">
        <w:rPr>
          <w:rFonts w:ascii="Times New Roman" w:hAnsi="Times New Roman" w:cs="Times New Roman"/>
          <w:sz w:val="20"/>
          <w:szCs w:val="20"/>
        </w:rPr>
        <w:t xml:space="preserve">and Carol S. Faber. </w:t>
      </w:r>
      <w:r w:rsidR="008A327E" w:rsidRPr="008E6705">
        <w:rPr>
          <w:rFonts w:ascii="Times New Roman" w:hAnsi="Times New Roman" w:cs="Times New Roman"/>
          <w:sz w:val="20"/>
          <w:szCs w:val="20"/>
        </w:rPr>
        <w:t>2012</w:t>
      </w:r>
      <w:r w:rsidRPr="006D07B9">
        <w:rPr>
          <w:rFonts w:ascii="Times New Roman" w:hAnsi="Times New Roman" w:cs="Times New Roman"/>
          <w:sz w:val="20"/>
          <w:szCs w:val="20"/>
        </w:rPr>
        <w:t>.</w:t>
      </w:r>
      <w:r w:rsidR="008128ED" w:rsidRPr="00C370C6">
        <w:rPr>
          <w:rFonts w:ascii="Times New Roman" w:hAnsi="Times New Roman" w:cs="Times New Roman"/>
          <w:sz w:val="20"/>
          <w:szCs w:val="20"/>
        </w:rPr>
        <w:t xml:space="preserve"> </w:t>
      </w:r>
      <w:r w:rsidR="008E41AD" w:rsidRPr="00174802">
        <w:rPr>
          <w:rFonts w:ascii="Times New Roman" w:eastAsia="Times New Roman" w:hAnsi="Times New Roman" w:cs="Times New Roman"/>
          <w:i/>
          <w:sz w:val="20"/>
          <w:szCs w:val="20"/>
        </w:rPr>
        <w:t>Geographical Mobility: 2005 to 2010</w:t>
      </w:r>
      <w:r w:rsidR="008E41AD" w:rsidRPr="00453CE4">
        <w:rPr>
          <w:rFonts w:ascii="Times New Roman" w:eastAsia="Times New Roman" w:hAnsi="Times New Roman" w:cs="Times New Roman"/>
          <w:sz w:val="20"/>
          <w:szCs w:val="20"/>
        </w:rPr>
        <w:t>. Current Population</w:t>
      </w:r>
      <w:r w:rsidR="00AF4E1A" w:rsidRPr="005E4F9E">
        <w:rPr>
          <w:rFonts w:ascii="Times New Roman" w:eastAsia="Times New Roman" w:hAnsi="Times New Roman" w:cs="Times New Roman"/>
          <w:sz w:val="20"/>
          <w:szCs w:val="20"/>
        </w:rPr>
        <w:t xml:space="preserve"> </w:t>
      </w:r>
      <w:r w:rsidR="008E41AD" w:rsidRPr="005E4F9E">
        <w:rPr>
          <w:rFonts w:ascii="Times New Roman" w:eastAsia="Times New Roman" w:hAnsi="Times New Roman" w:cs="Times New Roman"/>
          <w:sz w:val="20"/>
          <w:szCs w:val="20"/>
        </w:rPr>
        <w:t>Reports, P20-567. U.S. Census Bureau, Washington, DC.</w:t>
      </w:r>
    </w:p>
    <w:p w:rsidR="00B85419" w:rsidRPr="005E4F9E" w:rsidRDefault="005C4A26" w:rsidP="00FC74D8">
      <w:pPr>
        <w:spacing w:line="240" w:lineRule="auto"/>
        <w:rPr>
          <w:rFonts w:ascii="Times New Roman" w:hAnsi="Times New Roman" w:cs="Times New Roman"/>
          <w:sz w:val="20"/>
          <w:szCs w:val="20"/>
        </w:rPr>
      </w:pPr>
      <w:r w:rsidRPr="005E4F9E">
        <w:rPr>
          <w:rFonts w:ascii="Times New Roman" w:hAnsi="Times New Roman" w:cs="Times New Roman"/>
          <w:sz w:val="20"/>
          <w:szCs w:val="20"/>
        </w:rPr>
        <w:t>Ihrke, David</w:t>
      </w:r>
      <w:r w:rsidR="00B85419" w:rsidRPr="005E4F9E">
        <w:rPr>
          <w:rFonts w:ascii="Times New Roman" w:hAnsi="Times New Roman" w:cs="Times New Roman"/>
          <w:sz w:val="20"/>
          <w:szCs w:val="20"/>
        </w:rPr>
        <w:t xml:space="preserve"> K., Carol S. Faber, </w:t>
      </w:r>
      <w:r w:rsidR="00057E1F" w:rsidRPr="005E4F9E">
        <w:rPr>
          <w:rFonts w:ascii="Times New Roman" w:hAnsi="Times New Roman" w:cs="Times New Roman"/>
          <w:sz w:val="20"/>
          <w:szCs w:val="20"/>
        </w:rPr>
        <w:t>and</w:t>
      </w:r>
      <w:r w:rsidR="00B85419" w:rsidRPr="005E4F9E">
        <w:rPr>
          <w:rFonts w:ascii="Times New Roman" w:hAnsi="Times New Roman" w:cs="Times New Roman"/>
          <w:sz w:val="20"/>
          <w:szCs w:val="20"/>
        </w:rPr>
        <w:t xml:space="preserve"> William K. Koerber.</w:t>
      </w:r>
      <w:r w:rsidR="00057E1F" w:rsidRPr="005E4F9E">
        <w:rPr>
          <w:rFonts w:ascii="Times New Roman" w:hAnsi="Times New Roman" w:cs="Times New Roman"/>
          <w:sz w:val="20"/>
          <w:szCs w:val="20"/>
        </w:rPr>
        <w:t xml:space="preserve"> 2011</w:t>
      </w:r>
      <w:r w:rsidR="00B85419" w:rsidRPr="005E4F9E">
        <w:rPr>
          <w:rFonts w:ascii="Times New Roman" w:hAnsi="Times New Roman" w:cs="Times New Roman"/>
          <w:sz w:val="20"/>
          <w:szCs w:val="20"/>
        </w:rPr>
        <w:t xml:space="preserve">. </w:t>
      </w:r>
      <w:r w:rsidR="00B85419" w:rsidRPr="00174802">
        <w:rPr>
          <w:rFonts w:ascii="Times New Roman" w:hAnsi="Times New Roman" w:cs="Times New Roman"/>
          <w:i/>
          <w:sz w:val="20"/>
          <w:szCs w:val="20"/>
        </w:rPr>
        <w:t>Geographical Mobility: 2008 to 2009</w:t>
      </w:r>
      <w:r w:rsidR="00B85419" w:rsidRPr="005E4F9E">
        <w:rPr>
          <w:rFonts w:ascii="Times New Roman" w:hAnsi="Times New Roman" w:cs="Times New Roman"/>
          <w:sz w:val="20"/>
          <w:szCs w:val="20"/>
        </w:rPr>
        <w:t>. Current Population Reports, P20-565. U.S. Census Bureau, Washington, DC.</w:t>
      </w:r>
    </w:p>
    <w:p w:rsidR="001758D8" w:rsidRPr="005E4F9E" w:rsidRDefault="00D376FA" w:rsidP="00FC74D8">
      <w:pPr>
        <w:spacing w:line="240" w:lineRule="auto"/>
        <w:contextualSpacing/>
        <w:rPr>
          <w:rFonts w:ascii="Times New Roman" w:hAnsi="Times New Roman" w:cs="Times New Roman"/>
          <w:sz w:val="20"/>
          <w:szCs w:val="20"/>
        </w:rPr>
      </w:pPr>
      <w:r w:rsidRPr="005E4F9E">
        <w:rPr>
          <w:rFonts w:ascii="Times New Roman" w:hAnsi="Times New Roman" w:cs="Times New Roman"/>
          <w:sz w:val="20"/>
          <w:szCs w:val="20"/>
        </w:rPr>
        <w:t>Koerber, William K.</w:t>
      </w:r>
      <w:r w:rsidR="00057E1F" w:rsidRPr="005E4F9E">
        <w:rPr>
          <w:rFonts w:ascii="Times New Roman" w:hAnsi="Times New Roman" w:cs="Times New Roman"/>
          <w:sz w:val="20"/>
          <w:szCs w:val="20"/>
        </w:rPr>
        <w:t xml:space="preserve"> 20</w:t>
      </w:r>
      <w:r w:rsidR="00554761" w:rsidRPr="005E4F9E">
        <w:rPr>
          <w:rFonts w:ascii="Times New Roman" w:hAnsi="Times New Roman" w:cs="Times New Roman"/>
          <w:sz w:val="20"/>
          <w:szCs w:val="20"/>
        </w:rPr>
        <w:t>07</w:t>
      </w:r>
      <w:r w:rsidR="00057E1F" w:rsidRPr="005E4F9E">
        <w:rPr>
          <w:rFonts w:ascii="Times New Roman" w:hAnsi="Times New Roman" w:cs="Times New Roman"/>
          <w:sz w:val="20"/>
          <w:szCs w:val="20"/>
        </w:rPr>
        <w:t>.</w:t>
      </w:r>
      <w:r w:rsidRPr="005E4F9E">
        <w:rPr>
          <w:rFonts w:ascii="Times New Roman" w:hAnsi="Times New Roman" w:cs="Times New Roman"/>
          <w:sz w:val="20"/>
          <w:szCs w:val="20"/>
        </w:rPr>
        <w:t xml:space="preserve"> </w:t>
      </w:r>
      <w:r w:rsidRPr="00174802">
        <w:rPr>
          <w:rFonts w:ascii="Times New Roman" w:hAnsi="Times New Roman" w:cs="Times New Roman"/>
          <w:i/>
          <w:sz w:val="20"/>
          <w:szCs w:val="20"/>
        </w:rPr>
        <w:t>Comparison of ACS and ASEC Data on Geographical Mobility: 2004</w:t>
      </w:r>
      <w:r w:rsidRPr="005E4F9E">
        <w:rPr>
          <w:rFonts w:ascii="Times New Roman" w:hAnsi="Times New Roman" w:cs="Times New Roman"/>
          <w:sz w:val="20"/>
          <w:szCs w:val="20"/>
        </w:rPr>
        <w:t>.</w:t>
      </w:r>
      <w:r w:rsidR="00A95F2E" w:rsidRPr="005E4F9E">
        <w:rPr>
          <w:rFonts w:ascii="Times New Roman" w:hAnsi="Times New Roman" w:cs="Times New Roman"/>
          <w:sz w:val="20"/>
          <w:szCs w:val="20"/>
        </w:rPr>
        <w:t xml:space="preserve"> Working</w:t>
      </w:r>
      <w:r w:rsidR="00AF4E1A" w:rsidRPr="005E4F9E">
        <w:rPr>
          <w:rFonts w:ascii="Times New Roman" w:hAnsi="Times New Roman" w:cs="Times New Roman"/>
          <w:sz w:val="20"/>
          <w:szCs w:val="20"/>
        </w:rPr>
        <w:t xml:space="preserve"> </w:t>
      </w:r>
      <w:r w:rsidR="00A95F2E" w:rsidRPr="005E4F9E">
        <w:rPr>
          <w:rFonts w:ascii="Times New Roman" w:hAnsi="Times New Roman" w:cs="Times New Roman"/>
          <w:sz w:val="20"/>
          <w:szCs w:val="20"/>
        </w:rPr>
        <w:t xml:space="preserve">Paper. </w:t>
      </w:r>
      <w:r w:rsidRPr="005E4F9E">
        <w:rPr>
          <w:rFonts w:ascii="Times New Roman" w:hAnsi="Times New Roman" w:cs="Times New Roman"/>
          <w:sz w:val="20"/>
          <w:szCs w:val="20"/>
        </w:rPr>
        <w:t xml:space="preserve"> </w:t>
      </w:r>
    </w:p>
    <w:p w:rsidR="00AF4E1A" w:rsidRPr="005E4F9E" w:rsidRDefault="00AF4E1A" w:rsidP="00FC74D8">
      <w:pPr>
        <w:spacing w:after="0" w:line="240" w:lineRule="auto"/>
        <w:rPr>
          <w:rFonts w:ascii="Times New Roman" w:hAnsi="Times New Roman" w:cs="Times New Roman"/>
          <w:sz w:val="20"/>
          <w:szCs w:val="20"/>
        </w:rPr>
      </w:pPr>
    </w:p>
    <w:p w:rsidR="00232F45" w:rsidRPr="005E4F9E" w:rsidRDefault="001758D8" w:rsidP="00FC74D8">
      <w:pPr>
        <w:spacing w:after="0" w:line="240" w:lineRule="auto"/>
        <w:rPr>
          <w:rFonts w:ascii="Times New Roman" w:hAnsi="Times New Roman" w:cs="Times New Roman"/>
          <w:sz w:val="20"/>
          <w:szCs w:val="20"/>
        </w:rPr>
      </w:pPr>
      <w:r w:rsidRPr="005E4F9E">
        <w:rPr>
          <w:rFonts w:ascii="Times New Roman" w:hAnsi="Times New Roman" w:cs="Times New Roman"/>
          <w:sz w:val="20"/>
          <w:szCs w:val="20"/>
        </w:rPr>
        <w:t xml:space="preserve">U.S. Census Bureau. </w:t>
      </w:r>
      <w:r w:rsidR="00174802">
        <w:rPr>
          <w:rFonts w:ascii="Times New Roman" w:hAnsi="Times New Roman" w:cs="Times New Roman"/>
          <w:sz w:val="20"/>
          <w:szCs w:val="20"/>
        </w:rPr>
        <w:t>2014.</w:t>
      </w:r>
      <w:r w:rsidRPr="005E4F9E">
        <w:rPr>
          <w:rFonts w:ascii="Times New Roman" w:hAnsi="Times New Roman" w:cs="Times New Roman"/>
          <w:sz w:val="20"/>
          <w:szCs w:val="20"/>
        </w:rPr>
        <w:t xml:space="preserve"> </w:t>
      </w:r>
      <w:r w:rsidRPr="005E4F9E">
        <w:rPr>
          <w:rFonts w:ascii="Times New Roman" w:hAnsi="Times New Roman" w:cs="Times New Roman"/>
          <w:i/>
          <w:sz w:val="20"/>
          <w:szCs w:val="20"/>
        </w:rPr>
        <w:t>American Community Survey Design and Methodology (January 2014)</w:t>
      </w:r>
      <w:r w:rsidRPr="005E4F9E">
        <w:rPr>
          <w:rFonts w:ascii="Times New Roman" w:hAnsi="Times New Roman" w:cs="Times New Roman"/>
          <w:sz w:val="20"/>
          <w:szCs w:val="20"/>
        </w:rPr>
        <w:t xml:space="preserve">. </w:t>
      </w:r>
      <w:r w:rsidR="00AF4E1A" w:rsidRPr="005E4F9E">
        <w:rPr>
          <w:rFonts w:ascii="Times New Roman" w:hAnsi="Times New Roman" w:cs="Times New Roman"/>
          <w:sz w:val="20"/>
          <w:szCs w:val="20"/>
        </w:rPr>
        <w:t xml:space="preserve"> </w:t>
      </w:r>
      <w:r w:rsidRPr="005E4F9E">
        <w:rPr>
          <w:rFonts w:ascii="Times New Roman" w:hAnsi="Times New Roman" w:cs="Times New Roman"/>
          <w:sz w:val="20"/>
          <w:szCs w:val="20"/>
        </w:rPr>
        <w:t>Washington, D.C.:</w:t>
      </w:r>
      <w:r w:rsidR="00AF4E1A" w:rsidRPr="005E4F9E">
        <w:rPr>
          <w:rFonts w:ascii="Times New Roman" w:hAnsi="Times New Roman" w:cs="Times New Roman"/>
          <w:sz w:val="20"/>
          <w:szCs w:val="20"/>
        </w:rPr>
        <w:t xml:space="preserve"> </w:t>
      </w:r>
      <w:r w:rsidRPr="005E4F9E">
        <w:rPr>
          <w:rFonts w:ascii="Times New Roman" w:hAnsi="Times New Roman" w:cs="Times New Roman"/>
          <w:sz w:val="20"/>
          <w:szCs w:val="20"/>
        </w:rPr>
        <w:t xml:space="preserve">U.S Government </w:t>
      </w:r>
      <w:r w:rsidR="00174802">
        <w:rPr>
          <w:rFonts w:ascii="Times New Roman" w:hAnsi="Times New Roman" w:cs="Times New Roman"/>
          <w:sz w:val="20"/>
          <w:szCs w:val="20"/>
        </w:rPr>
        <w:t>Printing Office.</w:t>
      </w:r>
    </w:p>
    <w:p w:rsidR="00AF4E1A" w:rsidRPr="005E4F9E" w:rsidRDefault="00AF4E1A" w:rsidP="00FC74D8">
      <w:pPr>
        <w:spacing w:after="0" w:line="240" w:lineRule="auto"/>
        <w:rPr>
          <w:rFonts w:ascii="Times New Roman" w:hAnsi="Times New Roman" w:cs="Times New Roman"/>
          <w:sz w:val="20"/>
          <w:szCs w:val="20"/>
        </w:rPr>
      </w:pPr>
    </w:p>
    <w:p w:rsidR="00D93B77" w:rsidRPr="005E4F9E" w:rsidRDefault="00292536" w:rsidP="00FC74D8">
      <w:pPr>
        <w:spacing w:after="0" w:line="240" w:lineRule="auto"/>
        <w:rPr>
          <w:rFonts w:ascii="Times New Roman" w:hAnsi="Times New Roman" w:cs="Times New Roman"/>
          <w:sz w:val="20"/>
          <w:szCs w:val="20"/>
        </w:rPr>
      </w:pPr>
      <w:r>
        <w:rPr>
          <w:rFonts w:ascii="Times New Roman" w:hAnsi="Times New Roman" w:cs="Times New Roman"/>
          <w:sz w:val="20"/>
          <w:szCs w:val="20"/>
        </w:rPr>
        <w:t>U.S. Census Bureau.</w:t>
      </w:r>
      <w:r w:rsidR="00232F45" w:rsidRPr="005E4F9E">
        <w:rPr>
          <w:rFonts w:ascii="Times New Roman" w:hAnsi="Times New Roman" w:cs="Times New Roman"/>
          <w:sz w:val="20"/>
          <w:szCs w:val="20"/>
        </w:rPr>
        <w:t xml:space="preserve"> </w:t>
      </w:r>
      <w:r>
        <w:rPr>
          <w:rFonts w:ascii="Times New Roman" w:hAnsi="Times New Roman" w:cs="Times New Roman"/>
          <w:sz w:val="20"/>
          <w:szCs w:val="20"/>
        </w:rPr>
        <w:t xml:space="preserve">2006. </w:t>
      </w:r>
      <w:r w:rsidR="00232F45" w:rsidRPr="005E4F9E">
        <w:rPr>
          <w:rFonts w:ascii="Times New Roman" w:hAnsi="Times New Roman" w:cs="Times New Roman"/>
          <w:i/>
          <w:sz w:val="20"/>
          <w:szCs w:val="20"/>
        </w:rPr>
        <w:t xml:space="preserve">Current Population Survey Design and Methodology Technical Paper 66, </w:t>
      </w:r>
      <w:r w:rsidR="00232F45" w:rsidRPr="005E4F9E">
        <w:rPr>
          <w:rFonts w:ascii="Times New Roman" w:hAnsi="Times New Roman" w:cs="Times New Roman"/>
          <w:sz w:val="20"/>
          <w:szCs w:val="20"/>
        </w:rPr>
        <w:t>October 2006.</w:t>
      </w:r>
    </w:p>
    <w:p w:rsidR="00AF4E1A" w:rsidRPr="005E4F9E" w:rsidRDefault="00AF4E1A" w:rsidP="00FC74D8">
      <w:pPr>
        <w:spacing w:after="0" w:line="240" w:lineRule="auto"/>
        <w:rPr>
          <w:rFonts w:ascii="Times New Roman" w:hAnsi="Times New Roman" w:cs="Times New Roman"/>
          <w:sz w:val="20"/>
          <w:szCs w:val="20"/>
        </w:rPr>
      </w:pPr>
    </w:p>
    <w:p w:rsidR="00D93B77" w:rsidRPr="005E4F9E" w:rsidRDefault="00292536" w:rsidP="00FC74D8">
      <w:pPr>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U.S. Census Bureau. 2014. </w:t>
      </w:r>
      <w:r w:rsidR="00D93B77" w:rsidRPr="005E4F9E">
        <w:rPr>
          <w:rFonts w:ascii="Times New Roman" w:hAnsi="Times New Roman" w:cs="Times New Roman"/>
          <w:i/>
          <w:sz w:val="20"/>
          <w:szCs w:val="20"/>
        </w:rPr>
        <w:t xml:space="preserve">Current Population Survey, </w:t>
      </w:r>
      <w:r w:rsidR="00071531" w:rsidRPr="005E4F9E">
        <w:rPr>
          <w:rFonts w:ascii="Times New Roman" w:hAnsi="Times New Roman" w:cs="Times New Roman"/>
          <w:i/>
          <w:sz w:val="20"/>
          <w:szCs w:val="20"/>
        </w:rPr>
        <w:t>201</w:t>
      </w:r>
      <w:r w:rsidR="00D93B77" w:rsidRPr="005E4F9E">
        <w:rPr>
          <w:rFonts w:ascii="Times New Roman" w:hAnsi="Times New Roman" w:cs="Times New Roman"/>
          <w:i/>
          <w:sz w:val="20"/>
          <w:szCs w:val="20"/>
        </w:rPr>
        <w:t>4 Annual Social and Economic (ASEC) Supplement.</w:t>
      </w:r>
      <w:r w:rsidR="00AF4E1A" w:rsidRPr="005E4F9E">
        <w:rPr>
          <w:rFonts w:ascii="Times New Roman" w:hAnsi="Times New Roman" w:cs="Times New Roman"/>
          <w:sz w:val="20"/>
          <w:szCs w:val="20"/>
        </w:rPr>
        <w:t xml:space="preserve"> </w:t>
      </w:r>
      <w:r w:rsidR="00D93B77" w:rsidRPr="005E4F9E">
        <w:rPr>
          <w:rFonts w:ascii="Times New Roman" w:hAnsi="Times New Roman" w:cs="Times New Roman"/>
          <w:sz w:val="20"/>
          <w:szCs w:val="20"/>
        </w:rPr>
        <w:t>Technical Document.</w:t>
      </w:r>
    </w:p>
    <w:p w:rsidR="00D93B77" w:rsidRPr="00FC74D8" w:rsidRDefault="00D93B77" w:rsidP="00FC74D8">
      <w:pPr>
        <w:spacing w:after="0" w:line="240" w:lineRule="auto"/>
        <w:rPr>
          <w:rFonts w:ascii="Times New Roman" w:hAnsi="Times New Roman" w:cs="Times New Roman"/>
          <w:i/>
          <w:sz w:val="20"/>
          <w:szCs w:val="20"/>
        </w:rPr>
      </w:pPr>
    </w:p>
    <w:p w:rsidR="00232F45" w:rsidRPr="00FC74D8" w:rsidRDefault="00232F45" w:rsidP="00FC74D8">
      <w:pPr>
        <w:spacing w:line="240" w:lineRule="auto"/>
        <w:ind w:firstLine="720"/>
        <w:contextualSpacing/>
        <w:rPr>
          <w:sz w:val="20"/>
          <w:szCs w:val="20"/>
        </w:rPr>
      </w:pPr>
    </w:p>
    <w:p w:rsidR="00232F45" w:rsidRPr="008E41AD" w:rsidRDefault="00232F45" w:rsidP="00FC74D8">
      <w:pPr>
        <w:spacing w:line="240" w:lineRule="auto"/>
        <w:ind w:firstLine="720"/>
        <w:contextualSpacing/>
      </w:pPr>
    </w:p>
    <w:p w:rsidR="00F71279" w:rsidRDefault="00F71279">
      <w:r>
        <w:br w:type="page"/>
      </w:r>
    </w:p>
    <w:p w:rsidR="00B85419" w:rsidRPr="00022A2D" w:rsidRDefault="00F71279" w:rsidP="00FC74D8">
      <w:pPr>
        <w:spacing w:line="240" w:lineRule="auto"/>
        <w:contextualSpacing/>
        <w:rPr>
          <w:rFonts w:ascii="Times New Roman" w:hAnsi="Times New Roman" w:cs="Times New Roman"/>
          <w:b/>
          <w:sz w:val="20"/>
          <w:szCs w:val="20"/>
        </w:rPr>
      </w:pPr>
      <w:r w:rsidRPr="00022A2D">
        <w:rPr>
          <w:rFonts w:ascii="Times New Roman" w:hAnsi="Times New Roman" w:cs="Times New Roman"/>
          <w:b/>
          <w:sz w:val="20"/>
          <w:szCs w:val="20"/>
        </w:rPr>
        <w:t xml:space="preserve">Appendix </w:t>
      </w:r>
      <w:r w:rsidR="006D07B9" w:rsidRPr="00022A2D">
        <w:rPr>
          <w:rFonts w:ascii="Times New Roman" w:hAnsi="Times New Roman" w:cs="Times New Roman"/>
          <w:b/>
          <w:sz w:val="20"/>
          <w:szCs w:val="20"/>
        </w:rPr>
        <w:t>A</w:t>
      </w:r>
      <w:r w:rsidRPr="00022A2D">
        <w:rPr>
          <w:rFonts w:ascii="Times New Roman" w:hAnsi="Times New Roman" w:cs="Times New Roman"/>
          <w:b/>
          <w:sz w:val="20"/>
          <w:szCs w:val="20"/>
        </w:rPr>
        <w:t xml:space="preserve">. CPS-ASEC and ACS Comparison Matrix </w:t>
      </w:r>
    </w:p>
    <w:p w:rsidR="00F71279" w:rsidRPr="00022A2D" w:rsidRDefault="00F71279" w:rsidP="00FC74D8">
      <w:pPr>
        <w:spacing w:line="240" w:lineRule="auto"/>
        <w:contextual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760"/>
        <w:gridCol w:w="3340"/>
        <w:gridCol w:w="3340"/>
      </w:tblGrid>
      <w:tr w:rsidR="00F71279" w:rsidRPr="00022A2D" w:rsidTr="00F71279">
        <w:trPr>
          <w:trHeight w:val="300"/>
        </w:trPr>
        <w:tc>
          <w:tcPr>
            <w:tcW w:w="9440" w:type="dxa"/>
            <w:gridSpan w:val="3"/>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Table 7. Summary of Differences between CPS-ASEC and ACS Migration Estimates</w:t>
            </w:r>
          </w:p>
        </w:tc>
      </w:tr>
      <w:tr w:rsidR="00F71279" w:rsidRPr="00022A2D" w:rsidTr="00F71279">
        <w:trPr>
          <w:trHeight w:val="300"/>
        </w:trPr>
        <w:tc>
          <w:tcPr>
            <w:tcW w:w="2760" w:type="dxa"/>
            <w:noWrap/>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 </w:t>
            </w:r>
          </w:p>
        </w:tc>
        <w:tc>
          <w:tcPr>
            <w:tcW w:w="334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CPS-ASEC</w:t>
            </w:r>
          </w:p>
        </w:tc>
        <w:tc>
          <w:tcPr>
            <w:tcW w:w="334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ACS/PRCS</w:t>
            </w:r>
          </w:p>
        </w:tc>
      </w:tr>
      <w:tr w:rsidR="00F71279" w:rsidRPr="00022A2D" w:rsidTr="00A4729D">
        <w:trPr>
          <w:trHeight w:val="152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Principal purpose of surveys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Produce specific socioeconomic and demographic estimates for the United States, and estimates for states for selected characteristics and subpopulations.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Replace decennial census long form by providing estimates of selected social, economic, and housing characteristics of the population for many geographic areas and subpopulations.</w:t>
            </w:r>
          </w:p>
        </w:tc>
      </w:tr>
      <w:tr w:rsidR="00F71279" w:rsidRPr="00022A2D" w:rsidTr="00AC7EB8">
        <w:trPr>
          <w:trHeight w:val="1439"/>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Migration data availability</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1948 to present</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2005 to present (household population only in 2005; resident population in 2006 and beyond).  Limited data available for development (1996-1999) and demonstration (2000-2004) phases of the survey.</w:t>
            </w:r>
          </w:p>
        </w:tc>
      </w:tr>
      <w:tr w:rsidR="00F71279" w:rsidRPr="00022A2D" w:rsidTr="00A4729D">
        <w:trPr>
          <w:trHeight w:val="575"/>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Initial sample size (2013)</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99,000 households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3.5 million housing units and 207,000 people living in group quarters.</w:t>
            </w:r>
          </w:p>
        </w:tc>
      </w:tr>
      <w:tr w:rsidR="00F71279" w:rsidRPr="00022A2D" w:rsidTr="00AC7EB8">
        <w:trPr>
          <w:trHeight w:val="944"/>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Estimates available</w:t>
            </w:r>
          </w:p>
        </w:tc>
        <w:tc>
          <w:tcPr>
            <w:tcW w:w="3340" w:type="dxa"/>
            <w:hideMark/>
          </w:tcPr>
          <w:p w:rsidR="00F71279"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Mobility status</w:t>
            </w:r>
            <w:r w:rsidRPr="00022A2D">
              <w:rPr>
                <w:rFonts w:ascii="Times New Roman" w:hAnsi="Times New Roman" w:cs="Times New Roman"/>
                <w:sz w:val="20"/>
                <w:szCs w:val="20"/>
              </w:rPr>
              <w:br/>
              <w:t>Residence 1 year ago</w:t>
            </w:r>
            <w:r w:rsidRPr="00022A2D">
              <w:rPr>
                <w:rFonts w:ascii="Times New Roman" w:hAnsi="Times New Roman" w:cs="Times New Roman"/>
                <w:sz w:val="20"/>
                <w:szCs w:val="20"/>
              </w:rPr>
              <w:br/>
              <w:t>Reason for moved</w:t>
            </w:r>
            <w:r w:rsidRPr="00022A2D">
              <w:rPr>
                <w:rFonts w:ascii="Times New Roman" w:hAnsi="Times New Roman" w:cs="Times New Roman"/>
                <w:sz w:val="20"/>
                <w:szCs w:val="20"/>
              </w:rPr>
              <w:br/>
              <w:t>Distance moved</w:t>
            </w:r>
          </w:p>
          <w:p w:rsidR="001B1552" w:rsidRPr="00022A2D" w:rsidRDefault="001B1552" w:rsidP="00F71279">
            <w:pPr>
              <w:contextualSpacing/>
              <w:rPr>
                <w:rFonts w:ascii="Times New Roman" w:hAnsi="Times New Roman" w:cs="Times New Roman"/>
                <w:sz w:val="20"/>
                <w:szCs w:val="20"/>
              </w:rPr>
            </w:pPr>
          </w:p>
        </w:tc>
        <w:tc>
          <w:tcPr>
            <w:tcW w:w="3340" w:type="dxa"/>
            <w:hideMark/>
          </w:tcPr>
          <w:p w:rsidR="00F71279"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Mobility status</w:t>
            </w:r>
            <w:r w:rsidRPr="00022A2D">
              <w:rPr>
                <w:rFonts w:ascii="Times New Roman" w:hAnsi="Times New Roman" w:cs="Times New Roman"/>
                <w:sz w:val="20"/>
                <w:szCs w:val="20"/>
              </w:rPr>
              <w:br/>
              <w:t>Residence 1 year ago</w:t>
            </w:r>
          </w:p>
          <w:p w:rsidR="001B1552" w:rsidRPr="00022A2D" w:rsidRDefault="001B1552" w:rsidP="00F71279">
            <w:pPr>
              <w:contextualSpacing/>
              <w:rPr>
                <w:rFonts w:ascii="Times New Roman" w:hAnsi="Times New Roman" w:cs="Times New Roman"/>
                <w:sz w:val="20"/>
                <w:szCs w:val="20"/>
              </w:rPr>
            </w:pPr>
          </w:p>
        </w:tc>
      </w:tr>
      <w:tr w:rsidR="00F71279" w:rsidRPr="00022A2D" w:rsidTr="00A4729D">
        <w:trPr>
          <w:trHeight w:val="1052"/>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Universe</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Civilian non-</w:t>
            </w:r>
            <w:proofErr w:type="spellStart"/>
            <w:r w:rsidRPr="00022A2D">
              <w:rPr>
                <w:rFonts w:ascii="Times New Roman" w:hAnsi="Times New Roman" w:cs="Times New Roman"/>
                <w:sz w:val="20"/>
                <w:szCs w:val="20"/>
              </w:rPr>
              <w:t>institionalized</w:t>
            </w:r>
            <w:proofErr w:type="spellEnd"/>
            <w:r w:rsidRPr="00022A2D">
              <w:rPr>
                <w:rFonts w:ascii="Times New Roman" w:hAnsi="Times New Roman" w:cs="Times New Roman"/>
                <w:sz w:val="20"/>
                <w:szCs w:val="20"/>
              </w:rPr>
              <w:t xml:space="preserve"> </w:t>
            </w:r>
            <w:r w:rsidR="001C0D20" w:rsidRPr="00022A2D">
              <w:rPr>
                <w:rFonts w:ascii="Times New Roman" w:hAnsi="Times New Roman" w:cs="Times New Roman"/>
                <w:sz w:val="20"/>
                <w:szCs w:val="20"/>
              </w:rPr>
              <w:t>population</w:t>
            </w:r>
            <w:r w:rsidRPr="00022A2D">
              <w:rPr>
                <w:rFonts w:ascii="Times New Roman" w:hAnsi="Times New Roman" w:cs="Times New Roman"/>
                <w:sz w:val="20"/>
                <w:szCs w:val="20"/>
              </w:rPr>
              <w:t xml:space="preserve"> (includes all households and noninstitutionalized group quarters residents)</w:t>
            </w:r>
            <w:r w:rsidR="00022A2D">
              <w:rPr>
                <w:rFonts w:ascii="Times New Roman" w:hAnsi="Times New Roman" w:cs="Times New Roman"/>
                <w:sz w:val="20"/>
                <w:szCs w:val="20"/>
              </w:rPr>
              <w:t>.</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 xml:space="preserve">Resident population (includes all household and group </w:t>
            </w:r>
            <w:r w:rsidR="001C0D20" w:rsidRPr="00022A2D">
              <w:rPr>
                <w:rFonts w:ascii="Times New Roman" w:hAnsi="Times New Roman" w:cs="Times New Roman"/>
                <w:sz w:val="20"/>
                <w:szCs w:val="20"/>
              </w:rPr>
              <w:t>quarters’</w:t>
            </w:r>
            <w:r w:rsidRPr="00022A2D">
              <w:rPr>
                <w:rFonts w:ascii="Times New Roman" w:hAnsi="Times New Roman" w:cs="Times New Roman"/>
                <w:sz w:val="20"/>
                <w:szCs w:val="20"/>
              </w:rPr>
              <w:t xml:space="preserve"> residents)</w:t>
            </w:r>
            <w:r w:rsidR="00022A2D">
              <w:rPr>
                <w:rFonts w:ascii="Times New Roman" w:hAnsi="Times New Roman" w:cs="Times New Roman"/>
                <w:sz w:val="20"/>
                <w:szCs w:val="20"/>
              </w:rPr>
              <w:t>.</w:t>
            </w:r>
          </w:p>
        </w:tc>
      </w:tr>
      <w:tr w:rsidR="00F71279" w:rsidRPr="00022A2D" w:rsidTr="00A4729D">
        <w:trPr>
          <w:trHeight w:val="719"/>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Reference period</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Residence 1 year ago.   Residence 5 years ago question is available for years ending in "0" or "5".</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Residence 1 year ago</w:t>
            </w:r>
          </w:p>
        </w:tc>
      </w:tr>
      <w:tr w:rsidR="00F71279" w:rsidRPr="00022A2D" w:rsidTr="00A4729D">
        <w:trPr>
          <w:trHeight w:val="350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Mobility status/residence 1 year ago question wording</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 xml:space="preserve">Asks if the person lived in the same house or apartment 1 year ago. If the respondent indicates that he or she did not live in the same house or apartment 1 year ago, then the city/ town/post office, county, state, and zip code of their residence 1 year ago, is requested. The respondent is also asked if he or she lived inside the city or town limits. If the person lived outside the United States, only the country where they lived 1 year ago is requested. Prior to </w:t>
            </w:r>
            <w:r w:rsidR="001C0D20" w:rsidRPr="00022A2D">
              <w:rPr>
                <w:rFonts w:ascii="Times New Roman" w:hAnsi="Times New Roman" w:cs="Times New Roman"/>
                <w:sz w:val="20"/>
                <w:szCs w:val="20"/>
              </w:rPr>
              <w:t>2004,</w:t>
            </w:r>
            <w:r w:rsidRPr="00022A2D">
              <w:rPr>
                <w:rFonts w:ascii="Times New Roman" w:hAnsi="Times New Roman" w:cs="Times New Roman"/>
                <w:sz w:val="20"/>
                <w:szCs w:val="20"/>
              </w:rPr>
              <w:t xml:space="preserve"> the CPS referenced a specific date, March 1st of the prior year.</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Asks if the person lived in the same house or apartment 1 year ago. If the respondent indicates that he or she did not live in the same house or apartment 1 year ago, then the street address, city/town/post office, county, state, and zip code of their residence 1 year ago, is requested.  If the person lived outside the United States or Puerto Rico, only the country where they lived 1 year ago is requested. Prior to 2008, the respondent was asked if he or she lived inside the city or town limits instead of street address.</w:t>
            </w:r>
          </w:p>
        </w:tc>
      </w:tr>
      <w:tr w:rsidR="00F71279" w:rsidRPr="00022A2D" w:rsidTr="00A4729D">
        <w:trPr>
          <w:trHeight w:val="98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Modes of data collection</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Computer-Assisted Telephone Interview (CATI) and Computer-Assisted Personal Interview (CAPI)</w:t>
            </w:r>
            <w:r w:rsidR="00022A2D">
              <w:rPr>
                <w:rFonts w:ascii="Times New Roman" w:hAnsi="Times New Roman" w:cs="Times New Roman"/>
                <w:sz w:val="20"/>
                <w:szCs w:val="20"/>
              </w:rPr>
              <w:t>.</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 xml:space="preserve">Internet and mail (1st month </w:t>
            </w:r>
            <w:r w:rsidR="001C0D20" w:rsidRPr="00022A2D">
              <w:rPr>
                <w:rFonts w:ascii="Times New Roman" w:hAnsi="Times New Roman" w:cs="Times New Roman"/>
                <w:sz w:val="20"/>
                <w:szCs w:val="20"/>
              </w:rPr>
              <w:t>of collection</w:t>
            </w:r>
            <w:r w:rsidRPr="00022A2D">
              <w:rPr>
                <w:rFonts w:ascii="Times New Roman" w:hAnsi="Times New Roman" w:cs="Times New Roman"/>
                <w:sz w:val="20"/>
                <w:szCs w:val="20"/>
              </w:rPr>
              <w:t>)</w:t>
            </w:r>
            <w:r w:rsidRPr="00022A2D">
              <w:rPr>
                <w:rFonts w:ascii="Times New Roman" w:hAnsi="Times New Roman" w:cs="Times New Roman"/>
                <w:sz w:val="20"/>
                <w:szCs w:val="20"/>
              </w:rPr>
              <w:br w:type="page"/>
              <w:t>CATI (2nd month of collection)</w:t>
            </w:r>
            <w:r w:rsidRPr="00022A2D">
              <w:rPr>
                <w:rFonts w:ascii="Times New Roman" w:hAnsi="Times New Roman" w:cs="Times New Roman"/>
                <w:sz w:val="20"/>
                <w:szCs w:val="20"/>
              </w:rPr>
              <w:br w:type="page"/>
              <w:t>CAPI (3rd month of collection)</w:t>
            </w:r>
            <w:r w:rsidR="00022A2D">
              <w:rPr>
                <w:rFonts w:ascii="Times New Roman" w:hAnsi="Times New Roman" w:cs="Times New Roman"/>
                <w:sz w:val="20"/>
                <w:szCs w:val="20"/>
              </w:rPr>
              <w:t>.</w:t>
            </w:r>
          </w:p>
        </w:tc>
      </w:tr>
      <w:tr w:rsidR="00F71279" w:rsidRPr="00022A2D" w:rsidTr="00F71279">
        <w:trPr>
          <w:trHeight w:val="30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Residency rules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Usual residence rule</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Two-month rule</w:t>
            </w:r>
          </w:p>
        </w:tc>
      </w:tr>
      <w:tr w:rsidR="00F71279" w:rsidRPr="00022A2D" w:rsidTr="00AC7EB8">
        <w:trPr>
          <w:trHeight w:val="80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Sample design</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State-based sample design where the states are divided into primary sampling units.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Housing units are sampled within each county or county equivalent. Group quarters are sampled at the state level.</w:t>
            </w:r>
          </w:p>
        </w:tc>
      </w:tr>
      <w:tr w:rsidR="00F71279" w:rsidRPr="00022A2D" w:rsidTr="00AC7EB8">
        <w:trPr>
          <w:trHeight w:val="98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County coverage (2013)</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Households were sampled in 1,347 counties or county equivalents.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Housing units were sampled in all 3,144 counties or county equivalents in the United states and 78 municipios in Puerto Rico.</w:t>
            </w:r>
          </w:p>
        </w:tc>
      </w:tr>
      <w:tr w:rsidR="00F71279" w:rsidRPr="00022A2D" w:rsidTr="00AC7EB8">
        <w:trPr>
          <w:trHeight w:val="143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Nonresponse rates (2013)</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20.4 percent</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10.1 percent for housing units and 4.8 for group quarters.  The rate was higher than normal for housing units due to the government shutdown in October 2013.  The rate was 2.7 percent in 2012.</w:t>
            </w:r>
          </w:p>
        </w:tc>
      </w:tr>
      <w:tr w:rsidR="00F71279" w:rsidRPr="00022A2D" w:rsidTr="00AC7EB8">
        <w:trPr>
          <w:trHeight w:val="53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Allocation rates for mobility status (2013)</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16.9 percent</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6.5 percent</w:t>
            </w:r>
          </w:p>
        </w:tc>
      </w:tr>
      <w:tr w:rsidR="00F71279" w:rsidRPr="00022A2D" w:rsidTr="00AC7EB8">
        <w:trPr>
          <w:trHeight w:val="2150"/>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Editing of mobility status</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Data are edited for missing mobility status starting with the reference person in the household.  If possible, information reported from spouse and children in the housholds are first used as donors for missing data. If a family member</w:t>
            </w:r>
            <w:r w:rsidR="0015729A">
              <w:rPr>
                <w:rFonts w:ascii="Times New Roman" w:hAnsi="Times New Roman" w:cs="Times New Roman"/>
                <w:sz w:val="20"/>
                <w:szCs w:val="20"/>
              </w:rPr>
              <w:t>’</w:t>
            </w:r>
            <w:r w:rsidRPr="00022A2D">
              <w:rPr>
                <w:rFonts w:ascii="Times New Roman" w:hAnsi="Times New Roman" w:cs="Times New Roman"/>
                <w:sz w:val="20"/>
                <w:szCs w:val="20"/>
              </w:rPr>
              <w:t>s</w:t>
            </w:r>
            <w:r w:rsidR="0015729A">
              <w:rPr>
                <w:rFonts w:ascii="Times New Roman" w:hAnsi="Times New Roman" w:cs="Times New Roman"/>
                <w:sz w:val="20"/>
                <w:szCs w:val="20"/>
              </w:rPr>
              <w:t xml:space="preserve"> response</w:t>
            </w:r>
            <w:r w:rsidRPr="00022A2D">
              <w:rPr>
                <w:rFonts w:ascii="Times New Roman" w:hAnsi="Times New Roman" w:cs="Times New Roman"/>
                <w:sz w:val="20"/>
                <w:szCs w:val="20"/>
              </w:rPr>
              <w:t xml:space="preserve"> cannot be used as </w:t>
            </w:r>
            <w:r w:rsidR="0015729A">
              <w:rPr>
                <w:rFonts w:ascii="Times New Roman" w:hAnsi="Times New Roman" w:cs="Times New Roman"/>
                <w:sz w:val="20"/>
                <w:szCs w:val="20"/>
              </w:rPr>
              <w:t xml:space="preserve">a </w:t>
            </w:r>
            <w:r w:rsidRPr="00022A2D">
              <w:rPr>
                <w:rFonts w:ascii="Times New Roman" w:hAnsi="Times New Roman" w:cs="Times New Roman"/>
                <w:sz w:val="20"/>
                <w:szCs w:val="20"/>
              </w:rPr>
              <w:t>donor, then the value is allocated using an imputation matrix.</w:t>
            </w:r>
          </w:p>
        </w:tc>
        <w:tc>
          <w:tcPr>
            <w:tcW w:w="3340" w:type="dxa"/>
            <w:hideMark/>
          </w:tcPr>
          <w:p w:rsidR="00F71279" w:rsidRPr="00022A2D" w:rsidRDefault="00F71279" w:rsidP="00AC7EB8">
            <w:pPr>
              <w:contextualSpacing/>
              <w:rPr>
                <w:rFonts w:ascii="Times New Roman" w:hAnsi="Times New Roman" w:cs="Times New Roman"/>
                <w:sz w:val="20"/>
                <w:szCs w:val="20"/>
              </w:rPr>
            </w:pPr>
            <w:r w:rsidRPr="00022A2D">
              <w:rPr>
                <w:rFonts w:ascii="Times New Roman" w:hAnsi="Times New Roman" w:cs="Times New Roman"/>
                <w:sz w:val="20"/>
                <w:szCs w:val="20"/>
              </w:rPr>
              <w:t xml:space="preserve">Data are edited </w:t>
            </w:r>
            <w:r w:rsidR="0015729A" w:rsidRPr="00022A2D">
              <w:rPr>
                <w:rFonts w:ascii="Times New Roman" w:hAnsi="Times New Roman" w:cs="Times New Roman"/>
                <w:sz w:val="20"/>
                <w:szCs w:val="20"/>
              </w:rPr>
              <w:t>similarly</w:t>
            </w:r>
            <w:r w:rsidRPr="00022A2D">
              <w:rPr>
                <w:rFonts w:ascii="Times New Roman" w:hAnsi="Times New Roman" w:cs="Times New Roman"/>
                <w:sz w:val="20"/>
                <w:szCs w:val="20"/>
              </w:rPr>
              <w:t xml:space="preserve"> to ASEC, but the ACS also uses the housing question </w:t>
            </w:r>
            <w:r w:rsidR="0015729A">
              <w:rPr>
                <w:rFonts w:ascii="Times New Roman" w:hAnsi="Times New Roman" w:cs="Times New Roman"/>
                <w:sz w:val="20"/>
                <w:szCs w:val="20"/>
              </w:rPr>
              <w:t xml:space="preserve">month and </w:t>
            </w:r>
            <w:r w:rsidRPr="00022A2D">
              <w:rPr>
                <w:rFonts w:ascii="Times New Roman" w:hAnsi="Times New Roman" w:cs="Times New Roman"/>
                <w:sz w:val="20"/>
                <w:szCs w:val="20"/>
              </w:rPr>
              <w:t>year moved in for editing missing mobility status.  For paper que</w:t>
            </w:r>
            <w:r w:rsidR="00AC7EB8">
              <w:rPr>
                <w:rFonts w:ascii="Times New Roman" w:hAnsi="Times New Roman" w:cs="Times New Roman"/>
                <w:sz w:val="20"/>
                <w:szCs w:val="20"/>
              </w:rPr>
              <w:t>s</w:t>
            </w:r>
            <w:r w:rsidRPr="00022A2D">
              <w:rPr>
                <w:rFonts w:ascii="Times New Roman" w:hAnsi="Times New Roman" w:cs="Times New Roman"/>
                <w:sz w:val="20"/>
                <w:szCs w:val="20"/>
              </w:rPr>
              <w:t xml:space="preserve">tionnaires, if a respondent does not answer mobility status but does include residence 1 year ago, they are assumed to have moved.   </w:t>
            </w:r>
          </w:p>
        </w:tc>
      </w:tr>
      <w:tr w:rsidR="00F71279" w:rsidRPr="00022A2D" w:rsidTr="00AC7EB8">
        <w:trPr>
          <w:trHeight w:val="989"/>
        </w:trPr>
        <w:tc>
          <w:tcPr>
            <w:tcW w:w="2760" w:type="dxa"/>
            <w:hideMark/>
          </w:tcPr>
          <w:p w:rsidR="00F71279" w:rsidRPr="00022A2D" w:rsidRDefault="00F71279" w:rsidP="00F71279">
            <w:pPr>
              <w:contextualSpacing/>
              <w:rPr>
                <w:rFonts w:ascii="Times New Roman" w:hAnsi="Times New Roman" w:cs="Times New Roman"/>
                <w:b/>
                <w:bCs/>
                <w:sz w:val="20"/>
                <w:szCs w:val="20"/>
              </w:rPr>
            </w:pPr>
            <w:r w:rsidRPr="00022A2D">
              <w:rPr>
                <w:rFonts w:ascii="Times New Roman" w:hAnsi="Times New Roman" w:cs="Times New Roman"/>
                <w:b/>
                <w:bCs/>
                <w:sz w:val="20"/>
                <w:szCs w:val="20"/>
              </w:rPr>
              <w:t>General usage guidance</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Typically the most recent data available and provides information on the reason for move and distance moved.</w:t>
            </w:r>
          </w:p>
        </w:tc>
        <w:tc>
          <w:tcPr>
            <w:tcW w:w="3340" w:type="dxa"/>
            <w:hideMark/>
          </w:tcPr>
          <w:p w:rsidR="00F71279" w:rsidRPr="00022A2D" w:rsidRDefault="00F71279" w:rsidP="00F71279">
            <w:pPr>
              <w:contextualSpacing/>
              <w:rPr>
                <w:rFonts w:ascii="Times New Roman" w:hAnsi="Times New Roman" w:cs="Times New Roman"/>
                <w:sz w:val="20"/>
                <w:szCs w:val="20"/>
              </w:rPr>
            </w:pPr>
            <w:r w:rsidRPr="00022A2D">
              <w:rPr>
                <w:rFonts w:ascii="Times New Roman" w:hAnsi="Times New Roman" w:cs="Times New Roman"/>
                <w:sz w:val="20"/>
                <w:szCs w:val="20"/>
              </w:rPr>
              <w:t>More robust sample able to provide migration estimates at lower levels of geography</w:t>
            </w:r>
            <w:r w:rsidR="00022A2D">
              <w:rPr>
                <w:rFonts w:ascii="Times New Roman" w:hAnsi="Times New Roman" w:cs="Times New Roman"/>
                <w:sz w:val="20"/>
                <w:szCs w:val="20"/>
              </w:rPr>
              <w:t>.</w:t>
            </w:r>
          </w:p>
        </w:tc>
      </w:tr>
    </w:tbl>
    <w:p w:rsidR="00F71279" w:rsidRPr="00022A2D" w:rsidRDefault="00F71279" w:rsidP="00FC74D8">
      <w:pPr>
        <w:spacing w:line="240" w:lineRule="auto"/>
        <w:contextualSpacing/>
        <w:rPr>
          <w:rFonts w:ascii="Times New Roman" w:hAnsi="Times New Roman" w:cs="Times New Roman"/>
          <w:sz w:val="20"/>
          <w:szCs w:val="20"/>
        </w:rPr>
      </w:pPr>
    </w:p>
    <w:sectPr w:rsidR="00F71279" w:rsidRPr="00022A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97" w:rsidRDefault="00C30897" w:rsidP="00DC6C5D">
      <w:pPr>
        <w:spacing w:after="0" w:line="240" w:lineRule="auto"/>
      </w:pPr>
      <w:r>
        <w:separator/>
      </w:r>
    </w:p>
  </w:endnote>
  <w:endnote w:type="continuationSeparator" w:id="0">
    <w:p w:rsidR="00C30897" w:rsidRDefault="00C30897" w:rsidP="00DC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81689"/>
      <w:docPartObj>
        <w:docPartGallery w:val="Page Numbers (Bottom of Page)"/>
        <w:docPartUnique/>
      </w:docPartObj>
    </w:sdtPr>
    <w:sdtEndPr>
      <w:rPr>
        <w:noProof/>
      </w:rPr>
    </w:sdtEndPr>
    <w:sdtContent>
      <w:p w:rsidR="00C30897" w:rsidRDefault="00C30897">
        <w:pPr>
          <w:pStyle w:val="Footer"/>
          <w:jc w:val="right"/>
        </w:pPr>
        <w:r>
          <w:fldChar w:fldCharType="begin"/>
        </w:r>
        <w:r>
          <w:instrText xml:space="preserve"> PAGE   \* MERGEFORMAT </w:instrText>
        </w:r>
        <w:r>
          <w:fldChar w:fldCharType="separate"/>
        </w:r>
        <w:r w:rsidR="002E0CAB">
          <w:rPr>
            <w:noProof/>
          </w:rPr>
          <w:t>16</w:t>
        </w:r>
        <w:r>
          <w:rPr>
            <w:noProof/>
          </w:rPr>
          <w:fldChar w:fldCharType="end"/>
        </w:r>
      </w:p>
    </w:sdtContent>
  </w:sdt>
  <w:p w:rsidR="00C30897" w:rsidRDefault="00C30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97" w:rsidRDefault="00C30897" w:rsidP="00DC6C5D">
      <w:pPr>
        <w:spacing w:after="0" w:line="240" w:lineRule="auto"/>
      </w:pPr>
      <w:r>
        <w:separator/>
      </w:r>
    </w:p>
  </w:footnote>
  <w:footnote w:type="continuationSeparator" w:id="0">
    <w:p w:rsidR="00C30897" w:rsidRDefault="00C30897" w:rsidP="00DC6C5D">
      <w:pPr>
        <w:spacing w:after="0" w:line="240" w:lineRule="auto"/>
      </w:pPr>
      <w:r>
        <w:continuationSeparator/>
      </w:r>
    </w:p>
  </w:footnote>
  <w:footnote w:id="1">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This paper reports the results of research and analysis undertaken by U</w:t>
      </w:r>
      <w:r>
        <w:rPr>
          <w:rFonts w:ascii="Times New Roman" w:hAnsi="Times New Roman" w:cs="Times New Roman"/>
        </w:rPr>
        <w:t>.</w:t>
      </w:r>
      <w:r w:rsidRPr="00586B25">
        <w:rPr>
          <w:rFonts w:ascii="Times New Roman" w:hAnsi="Times New Roman" w:cs="Times New Roman"/>
        </w:rPr>
        <w:t>S</w:t>
      </w:r>
      <w:r>
        <w:rPr>
          <w:rFonts w:ascii="Times New Roman" w:hAnsi="Times New Roman" w:cs="Times New Roman"/>
        </w:rPr>
        <w:t>.</w:t>
      </w:r>
      <w:r w:rsidRPr="00586B25">
        <w:rPr>
          <w:rFonts w:ascii="Times New Roman" w:hAnsi="Times New Roman" w:cs="Times New Roman"/>
        </w:rPr>
        <w:t xml:space="preserve"> Census Bureau staff. It has undergone more limited review than official publications and is released to inform interested parties of ongoing research and to encourage discussion of work in progress. Any views expressed are those of the authors and not necessarily those of the U.S. Census Bureau.</w:t>
      </w:r>
    </w:p>
  </w:footnote>
  <w:footnote w:id="2">
    <w:p w:rsidR="00C30897" w:rsidRPr="00586B25" w:rsidRDefault="00C30897" w:rsidP="00FC74D8">
      <w:pPr>
        <w:pStyle w:val="FootnoteText"/>
        <w:contextualSpacing/>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Other Census Bureau surveys that collect migration data include the American Housing Survey and the Survey of Income and Program Participation. Migration estimates, based on administrative data, are also published by the Census Bureau’s Population Estimates Program. </w:t>
      </w:r>
    </w:p>
  </w:footnote>
  <w:footnote w:id="3">
    <w:p w:rsidR="00C30897" w:rsidRPr="00586B25" w:rsidRDefault="00C30897" w:rsidP="00FC74D8">
      <w:pPr>
        <w:pStyle w:val="FootnoteText"/>
        <w:contextualSpacing/>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appendix of the report, “Geographical Mobility: 2008 to 2009” by Ihrke et al. (2011) also discusses differences between the ACS and ASEC. The report is available at: </w:t>
      </w:r>
      <w:hyperlink r:id="rId1" w:history="1">
        <w:r w:rsidRPr="00586B25">
          <w:rPr>
            <w:rStyle w:val="Hyperlink"/>
            <w:rFonts w:ascii="Times New Roman" w:hAnsi="Times New Roman" w:cs="Times New Roman"/>
          </w:rPr>
          <w:t>http://www.census.gov/prod/2011pubs/p20-565.pdf</w:t>
        </w:r>
      </w:hyperlink>
      <w:r w:rsidRPr="00586B25">
        <w:rPr>
          <w:rFonts w:ascii="Times New Roman" w:hAnsi="Times New Roman" w:cs="Times New Roman"/>
        </w:rPr>
        <w:t xml:space="preserve">. </w:t>
      </w:r>
    </w:p>
  </w:footnote>
  <w:footnote w:id="4">
    <w:p w:rsidR="00C30897" w:rsidRPr="00586B25" w:rsidRDefault="00C30897" w:rsidP="00FB328C">
      <w:pPr>
        <w:pStyle w:val="FootnoteText"/>
        <w:contextualSpacing/>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More information about this processing change is available a note for data users on the Impact of Processing on Interstate Migration Rates, 2000-2006, available at: </w:t>
      </w:r>
      <w:hyperlink r:id="rId2" w:history="1">
        <w:r w:rsidRPr="00586B25">
          <w:rPr>
            <w:rStyle w:val="Hyperlink"/>
            <w:rFonts w:ascii="Times New Roman" w:hAnsi="Times New Roman" w:cs="Times New Roman"/>
          </w:rPr>
          <w:t>http://www.census.gov/hhes/migration/files/CPSnote.pdf</w:t>
        </w:r>
      </w:hyperlink>
      <w:r w:rsidRPr="00586B25">
        <w:rPr>
          <w:rFonts w:ascii="Times New Roman" w:hAnsi="Times New Roman" w:cs="Times New Roman"/>
        </w:rPr>
        <w:t xml:space="preserve">. </w:t>
      </w:r>
    </w:p>
  </w:footnote>
  <w:footnote w:id="5">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historical tables and figures for migration are available at: </w:t>
      </w:r>
      <w:hyperlink r:id="rId3" w:history="1">
        <w:r w:rsidRPr="00586B25">
          <w:rPr>
            <w:rStyle w:val="Hyperlink"/>
            <w:rFonts w:ascii="Times New Roman" w:hAnsi="Times New Roman" w:cs="Times New Roman"/>
          </w:rPr>
          <w:t>http://www.census.gov/hhes/migration/data/cps/historical.html</w:t>
        </w:r>
      </w:hyperlink>
      <w:r w:rsidRPr="00586B25">
        <w:rPr>
          <w:rFonts w:ascii="Times New Roman" w:hAnsi="Times New Roman" w:cs="Times New Roman"/>
        </w:rPr>
        <w:t>. Some years are not comparable due to changes in the migration questionnaire wording.</w:t>
      </w:r>
    </w:p>
  </w:footnote>
  <w:footnote w:id="6">
    <w:p w:rsidR="00C30897" w:rsidRPr="001F049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ASEC detailed migration tables are available at: </w:t>
      </w:r>
      <w:hyperlink r:id="rId4" w:history="1">
        <w:r w:rsidRPr="00586B25">
          <w:rPr>
            <w:rStyle w:val="Hyperlink"/>
            <w:rFonts w:ascii="Times New Roman" w:hAnsi="Times New Roman" w:cs="Times New Roman"/>
          </w:rPr>
          <w:t>http://www.census.gov/hhes/migration/data/cps.html</w:t>
        </w:r>
      </w:hyperlink>
      <w:r w:rsidRPr="00586B25">
        <w:rPr>
          <w:rFonts w:ascii="Times New Roman" w:hAnsi="Times New Roman" w:cs="Times New Roman"/>
        </w:rPr>
        <w:t>.</w:t>
      </w:r>
    </w:p>
  </w:footnote>
  <w:footnote w:id="7">
    <w:p w:rsidR="00C30897" w:rsidRPr="00586B25" w:rsidRDefault="00C30897" w:rsidP="00FC74D8">
      <w:pPr>
        <w:pStyle w:val="FootnoteText"/>
        <w:contextualSpacing/>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precursor to the ACS, the Long Form Decennial Census, asked migration questions from 1940 to 2000.  However, the reference period for migration was 5 years, except in 1950, and not comparable to the 1-year ACS </w:t>
      </w:r>
      <w:r>
        <w:rPr>
          <w:rFonts w:ascii="Times New Roman" w:hAnsi="Times New Roman" w:cs="Times New Roman"/>
        </w:rPr>
        <w:t>data</w:t>
      </w:r>
      <w:r w:rsidRPr="00586B25">
        <w:rPr>
          <w:rFonts w:ascii="Times New Roman" w:hAnsi="Times New Roman" w:cs="Times New Roman"/>
        </w:rPr>
        <w:t xml:space="preserve">. </w:t>
      </w:r>
    </w:p>
  </w:footnote>
  <w:footnote w:id="8">
    <w:p w:rsidR="00C30897" w:rsidRPr="00586B25" w:rsidRDefault="00C30897" w:rsidP="004D0693">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Group quarters include college residence halls, residential treatment centers, skilled nursing facilities, group homes, military barracks, correctional facilities, and workers’ dormitories.</w:t>
      </w:r>
    </w:p>
  </w:footnote>
  <w:footnote w:id="9">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URL for American Factfinder is </w:t>
      </w:r>
      <w:hyperlink r:id="rId5" w:history="1">
        <w:r w:rsidRPr="0079422F">
          <w:rPr>
            <w:rStyle w:val="Hyperlink"/>
            <w:rFonts w:ascii="Times New Roman" w:hAnsi="Times New Roman" w:cs="Times New Roman"/>
          </w:rPr>
          <w:t>http://factfinder.census.gov</w:t>
        </w:r>
      </w:hyperlink>
      <w:r>
        <w:rPr>
          <w:rFonts w:ascii="Times New Roman" w:hAnsi="Times New Roman" w:cs="Times New Roman"/>
        </w:rPr>
        <w:t xml:space="preserve">. </w:t>
      </w:r>
      <w:r w:rsidRPr="00586B25">
        <w:rPr>
          <w:rFonts w:ascii="Times New Roman" w:hAnsi="Times New Roman" w:cs="Times New Roman"/>
        </w:rPr>
        <w:t xml:space="preserve"> </w:t>
      </w:r>
    </w:p>
  </w:footnote>
  <w:footnote w:id="10">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Migration flows are available at the geographic summary levels of state, county, minor civil division (for selected states), and metropolitan statistical areas on the ACS Migration webpage, available at: </w:t>
      </w:r>
      <w:hyperlink r:id="rId6" w:history="1">
        <w:r w:rsidRPr="00586B25">
          <w:rPr>
            <w:rStyle w:val="Hyperlink"/>
            <w:rFonts w:ascii="Times New Roman" w:hAnsi="Times New Roman" w:cs="Times New Roman"/>
          </w:rPr>
          <w:t>http://www.census.gov/hhes/migration/data/acs.html</w:t>
        </w:r>
      </w:hyperlink>
      <w:r w:rsidRPr="00586B25">
        <w:rPr>
          <w:rFonts w:ascii="Times New Roman" w:hAnsi="Times New Roman" w:cs="Times New Roman"/>
        </w:rPr>
        <w:t xml:space="preserve">. </w:t>
      </w:r>
    </w:p>
  </w:footnote>
  <w:footnote w:id="11">
    <w:p w:rsidR="00C30897" w:rsidRPr="00F50E7A"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2013 data were used because the 2014 ACS estimates were not publicly available when this report was written.</w:t>
      </w:r>
    </w:p>
  </w:footnote>
  <w:footnote w:id="12">
    <w:p w:rsidR="00C30897" w:rsidRPr="002470AA"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w:t>
      </w:r>
      <w:r w:rsidRPr="002470AA">
        <w:rPr>
          <w:rFonts w:ascii="Times New Roman" w:hAnsi="Times New Roman" w:cs="Times New Roman"/>
        </w:rPr>
        <w:t xml:space="preserve">See Koerber (2007) and pages 17 and 18 of Ihrke et al., (2011). </w:t>
      </w:r>
    </w:p>
  </w:footnote>
  <w:footnote w:id="13">
    <w:p w:rsidR="00C30897" w:rsidRPr="002470AA" w:rsidRDefault="00C30897">
      <w:pPr>
        <w:pStyle w:val="FootnoteText"/>
        <w:rPr>
          <w:rFonts w:ascii="Times New Roman" w:hAnsi="Times New Roman" w:cs="Times New Roman"/>
        </w:rPr>
      </w:pPr>
      <w:r w:rsidRPr="002470AA">
        <w:rPr>
          <w:rStyle w:val="FootnoteReference"/>
          <w:rFonts w:ascii="Times New Roman" w:hAnsi="Times New Roman" w:cs="Times New Roman"/>
        </w:rPr>
        <w:footnoteRef/>
      </w:r>
      <w:r w:rsidRPr="002470AA">
        <w:rPr>
          <w:rFonts w:ascii="Times New Roman" w:hAnsi="Times New Roman" w:cs="Times New Roman"/>
        </w:rPr>
        <w:t xml:space="preserve"> For quick reference to some of these differences, see the comparison matrix in the Appendix A of this report. </w:t>
      </w:r>
    </w:p>
  </w:footnote>
  <w:footnote w:id="14">
    <w:p w:rsidR="00C30897" w:rsidRPr="002470AA" w:rsidRDefault="00C30897">
      <w:pPr>
        <w:pStyle w:val="FootnoteText"/>
        <w:rPr>
          <w:rFonts w:ascii="Times New Roman" w:hAnsi="Times New Roman" w:cs="Times New Roman"/>
        </w:rPr>
      </w:pPr>
      <w:r w:rsidRPr="002470AA">
        <w:rPr>
          <w:rStyle w:val="FootnoteReference"/>
          <w:rFonts w:ascii="Times New Roman" w:hAnsi="Times New Roman" w:cs="Times New Roman"/>
        </w:rPr>
        <w:footnoteRef/>
      </w:r>
      <w:r w:rsidRPr="002470AA">
        <w:rPr>
          <w:rFonts w:ascii="Times New Roman" w:hAnsi="Times New Roman" w:cs="Times New Roman"/>
        </w:rPr>
        <w:t xml:space="preserve"> Modes of data collection are discussed in more detail in the next section. </w:t>
      </w:r>
    </w:p>
  </w:footnote>
  <w:footnote w:id="15">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For tabulation purposes, people currently living in Puerto Rico are excluded from calculations of United States’ movers and mover rates.    </w:t>
      </w:r>
    </w:p>
  </w:footnote>
  <w:footnote w:id="16">
    <w:p w:rsidR="00C30897" w:rsidRPr="002470AA" w:rsidRDefault="00C30897">
      <w:pPr>
        <w:pStyle w:val="FootnoteText"/>
        <w:rPr>
          <w:rFonts w:ascii="Times New Roman" w:hAnsi="Times New Roman" w:cs="Times New Roman"/>
        </w:rPr>
      </w:pPr>
      <w:r w:rsidRPr="001B4E90">
        <w:rPr>
          <w:rStyle w:val="FootnoteReference"/>
          <w:b/>
        </w:rPr>
        <w:footnoteRef/>
      </w:r>
      <w:r w:rsidRPr="001B4E90">
        <w:rPr>
          <w:b/>
        </w:rPr>
        <w:t xml:space="preserve"> </w:t>
      </w:r>
      <w:r w:rsidRPr="002470AA">
        <w:rPr>
          <w:rFonts w:ascii="Times New Roman" w:hAnsi="Times New Roman" w:cs="Times New Roman"/>
        </w:rPr>
        <w:t xml:space="preserve">In the ACS/PRCS, respondents who lived in Puerto Rico 1 year ago are also asked to provide detailed information about their previous residence. </w:t>
      </w:r>
    </w:p>
  </w:footnote>
  <w:footnote w:id="17">
    <w:p w:rsidR="00C30897" w:rsidRPr="00586B25" w:rsidRDefault="00C30897">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collection of house or unit number and street name began in 2008. Before implementation, the feasibility of collecting and coding down to the place level was tested. To read results of the 2006 Content Test on this subject, see the Evaluation Report Covering Residence 1-Year Ago (Migration), available at: </w:t>
      </w:r>
      <w:hyperlink r:id="rId7" w:history="1">
        <w:r w:rsidRPr="00586B25">
          <w:rPr>
            <w:rStyle w:val="Hyperlink"/>
            <w:rFonts w:ascii="Times New Roman" w:hAnsi="Times New Roman" w:cs="Times New Roman"/>
          </w:rPr>
          <w:t>http://www.census.gov/library/working-papers/2007/acs/2007_Boertlein_01.html</w:t>
        </w:r>
      </w:hyperlink>
      <w:r w:rsidRPr="00586B25">
        <w:rPr>
          <w:rFonts w:ascii="Times New Roman" w:hAnsi="Times New Roman" w:cs="Times New Roman"/>
        </w:rPr>
        <w:t xml:space="preserve">. </w:t>
      </w:r>
    </w:p>
  </w:footnote>
  <w:footnote w:id="18">
    <w:p w:rsidR="00C30897" w:rsidRPr="00586B25" w:rsidRDefault="00C30897" w:rsidP="000F342B">
      <w:pPr>
        <w:pStyle w:val="FootnoteText"/>
        <w:rPr>
          <w:rFonts w:ascii="Times New Roman" w:hAnsi="Times New Roman" w:cs="Times New Roman"/>
        </w:rPr>
      </w:pPr>
      <w:r w:rsidRPr="00586B25">
        <w:rPr>
          <w:rStyle w:val="FootnoteReference"/>
          <w:rFonts w:ascii="Times New Roman" w:hAnsi="Times New Roman" w:cs="Times New Roman"/>
        </w:rPr>
        <w:footnoteRef/>
      </w:r>
      <w:r w:rsidRPr="00586B25">
        <w:rPr>
          <w:rFonts w:ascii="Times New Roman" w:hAnsi="Times New Roman" w:cs="Times New Roman"/>
        </w:rPr>
        <w:t xml:space="preserve"> The Internet mode was first utilized in 2013 for the ACS. </w:t>
      </w:r>
    </w:p>
  </w:footnote>
  <w:footnote w:id="19">
    <w:p w:rsidR="00C30897" w:rsidRPr="0005736E" w:rsidRDefault="00C30897">
      <w:pPr>
        <w:pStyle w:val="FootnoteText"/>
        <w:rPr>
          <w:rFonts w:ascii="Times New Roman" w:hAnsi="Times New Roman" w:cs="Times New Roman"/>
        </w:rPr>
      </w:pPr>
      <w:r w:rsidRPr="0094032C">
        <w:rPr>
          <w:rStyle w:val="FootnoteReference"/>
          <w:rFonts w:ascii="Times New Roman" w:hAnsi="Times New Roman" w:cs="Times New Roman"/>
        </w:rPr>
        <w:footnoteRef/>
      </w:r>
      <w:r w:rsidRPr="0094032C">
        <w:rPr>
          <w:rFonts w:ascii="Times New Roman" w:hAnsi="Times New Roman" w:cs="Times New Roman"/>
        </w:rPr>
        <w:t xml:space="preserve"> In certain circumstances, initial contact is made through CAPI. For example, data collection for residents of remote areas in Alaska.</w:t>
      </w:r>
      <w:r w:rsidRPr="0005736E">
        <w:rPr>
          <w:rFonts w:ascii="Times New Roman" w:hAnsi="Times New Roman" w:cs="Times New Roman"/>
        </w:rPr>
        <w:t xml:space="preserve"> </w:t>
      </w:r>
    </w:p>
  </w:footnote>
  <w:footnote w:id="20">
    <w:p w:rsidR="00C30897" w:rsidRPr="003F09B3" w:rsidRDefault="00C30897">
      <w:pPr>
        <w:pStyle w:val="FootnoteText"/>
        <w:rPr>
          <w:rFonts w:ascii="Times New Roman" w:hAnsi="Times New Roman" w:cs="Times New Roman"/>
        </w:rPr>
      </w:pPr>
      <w:r w:rsidRPr="003F09B3">
        <w:rPr>
          <w:rStyle w:val="FootnoteReference"/>
          <w:rFonts w:ascii="Times New Roman" w:hAnsi="Times New Roman" w:cs="Times New Roman"/>
        </w:rPr>
        <w:footnoteRef/>
      </w:r>
      <w:r w:rsidRPr="003F09B3">
        <w:rPr>
          <w:rFonts w:ascii="Times New Roman" w:hAnsi="Times New Roman" w:cs="Times New Roman"/>
        </w:rPr>
        <w:t xml:space="preserve"> In order to reach respondents through CATI, the Census Bureau contracts with commercial vendors to obtain telephone numbers.  The Census Bureau then attempts to match ACS addresses with telephone numbers in the databases. </w:t>
      </w:r>
    </w:p>
  </w:footnote>
  <w:footnote w:id="21">
    <w:p w:rsidR="00C30897" w:rsidRDefault="00C30897">
      <w:pPr>
        <w:pStyle w:val="FootnoteText"/>
      </w:pPr>
      <w:r w:rsidRPr="003F09B3">
        <w:rPr>
          <w:rStyle w:val="FootnoteReference"/>
          <w:rFonts w:ascii="Times New Roman" w:hAnsi="Times New Roman" w:cs="Times New Roman"/>
        </w:rPr>
        <w:footnoteRef/>
      </w:r>
      <w:r w:rsidRPr="003F09B3">
        <w:rPr>
          <w:rFonts w:ascii="Times New Roman" w:hAnsi="Times New Roman" w:cs="Times New Roman"/>
        </w:rPr>
        <w:t xml:space="preserve"> The reference period for migration covered by each survey was thoroughly discussed in the Geographic Mobility: 2008 to 2009 report, available at: </w:t>
      </w:r>
      <w:hyperlink r:id="rId8" w:history="1">
        <w:r w:rsidRPr="003F09B3">
          <w:rPr>
            <w:rStyle w:val="Hyperlink"/>
            <w:rFonts w:ascii="Times New Roman" w:hAnsi="Times New Roman" w:cs="Times New Roman"/>
          </w:rPr>
          <w:t>http://www.census.gov/prod/2011pubs/p20-565.pdf</w:t>
        </w:r>
      </w:hyperlink>
      <w:r w:rsidRPr="003F09B3">
        <w:rPr>
          <w:rFonts w:ascii="Times New Roman" w:hAnsi="Times New Roman" w:cs="Times New Roman"/>
        </w:rPr>
        <w:t xml:space="preserve">. </w:t>
      </w:r>
      <w:r w:rsidRPr="003F09B3">
        <w:rPr>
          <w:rFonts w:ascii="Times New Roman" w:hAnsi="Times New Roman" w:cs="Times New Roman"/>
          <w:b/>
        </w:rPr>
        <w:t>Figure 1</w:t>
      </w:r>
      <w:r w:rsidRPr="003F09B3">
        <w:rPr>
          <w:rFonts w:ascii="Times New Roman" w:hAnsi="Times New Roman" w:cs="Times New Roman"/>
        </w:rPr>
        <w:t xml:space="preserve"> is an updated version of the graphic presented in this report.</w:t>
      </w:r>
    </w:p>
  </w:footnote>
  <w:footnote w:id="22">
    <w:p w:rsidR="00C30897" w:rsidRPr="003F09B3" w:rsidRDefault="00C30897" w:rsidP="00A905BC">
      <w:pPr>
        <w:pStyle w:val="FootnoteText"/>
        <w:rPr>
          <w:rFonts w:ascii="Times New Roman" w:hAnsi="Times New Roman" w:cs="Times New Roman"/>
        </w:rPr>
      </w:pPr>
      <w:r w:rsidRPr="003F09B3">
        <w:rPr>
          <w:rStyle w:val="FootnoteReference"/>
          <w:rFonts w:ascii="Times New Roman" w:hAnsi="Times New Roman" w:cs="Times New Roman"/>
        </w:rPr>
        <w:footnoteRef/>
      </w:r>
      <w:r w:rsidRPr="003F09B3">
        <w:rPr>
          <w:rFonts w:ascii="Times New Roman" w:hAnsi="Times New Roman" w:cs="Times New Roman"/>
        </w:rPr>
        <w:t xml:space="preserve"> Examples of institutional group quarters include adult correctional facilities and nursing homes.</w:t>
      </w:r>
    </w:p>
  </w:footnote>
  <w:footnote w:id="23">
    <w:p w:rsidR="00C30897" w:rsidRPr="003F09B3" w:rsidRDefault="00C30897" w:rsidP="00A905BC">
      <w:pPr>
        <w:pStyle w:val="FootnoteText"/>
        <w:rPr>
          <w:rFonts w:ascii="Times New Roman" w:hAnsi="Times New Roman" w:cs="Times New Roman"/>
        </w:rPr>
      </w:pPr>
      <w:r w:rsidRPr="003F09B3">
        <w:rPr>
          <w:rStyle w:val="FootnoteReference"/>
          <w:rFonts w:ascii="Times New Roman" w:hAnsi="Times New Roman" w:cs="Times New Roman"/>
        </w:rPr>
        <w:footnoteRef/>
      </w:r>
      <w:r w:rsidRPr="003F09B3">
        <w:rPr>
          <w:rFonts w:ascii="Times New Roman" w:hAnsi="Times New Roman" w:cs="Times New Roman"/>
        </w:rPr>
        <w:t xml:space="preserve"> Members of the Armed Forces are included in ASEC if they live off base or live with their civilian families on base. </w:t>
      </w:r>
    </w:p>
  </w:footnote>
  <w:footnote w:id="24">
    <w:p w:rsidR="00C30897" w:rsidRPr="003F09B3" w:rsidRDefault="00C30897" w:rsidP="00A905BC">
      <w:pPr>
        <w:pStyle w:val="FootnoteText"/>
        <w:rPr>
          <w:rFonts w:ascii="Times New Roman" w:hAnsi="Times New Roman" w:cs="Times New Roman"/>
        </w:rPr>
      </w:pPr>
      <w:r w:rsidRPr="003F09B3">
        <w:rPr>
          <w:rStyle w:val="FootnoteReference"/>
          <w:rFonts w:ascii="Times New Roman" w:hAnsi="Times New Roman" w:cs="Times New Roman"/>
        </w:rPr>
        <w:footnoteRef/>
      </w:r>
      <w:r w:rsidRPr="003F09B3">
        <w:rPr>
          <w:rFonts w:ascii="Times New Roman" w:hAnsi="Times New Roman" w:cs="Times New Roman"/>
        </w:rPr>
        <w:t xml:space="preserve"> ASEC does not typically visit college dormitories for sampling purposes. Therefore, students are either reported at their usual residence outside the dormitories, such as their parents’ home, or not captured by the survey.  </w:t>
      </w:r>
    </w:p>
  </w:footnote>
  <w:footnote w:id="25">
    <w:p w:rsidR="00C30897" w:rsidRPr="00C42F63" w:rsidRDefault="00C30897" w:rsidP="00D11019">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If a person has no other place to stay for more than two months, they can be considered a resident even if they do not plan to live there for two months.  </w:t>
      </w:r>
    </w:p>
  </w:footnote>
  <w:footnote w:id="26">
    <w:p w:rsidR="00C30897" w:rsidRPr="00D3601D" w:rsidRDefault="00C30897" w:rsidP="00803C26">
      <w:pPr>
        <w:pStyle w:val="FootnoteText"/>
        <w:rPr>
          <w:rFonts w:ascii="Times New Roman" w:hAnsi="Times New Roman" w:cs="Times New Roman"/>
        </w:rPr>
      </w:pPr>
      <w:r w:rsidRPr="00D3601D">
        <w:rPr>
          <w:rStyle w:val="FootnoteReference"/>
          <w:rFonts w:ascii="Times New Roman" w:hAnsi="Times New Roman" w:cs="Times New Roman"/>
        </w:rPr>
        <w:footnoteRef/>
      </w:r>
      <w:r w:rsidRPr="00D3601D">
        <w:rPr>
          <w:rFonts w:ascii="Times New Roman" w:hAnsi="Times New Roman" w:cs="Times New Roman"/>
        </w:rPr>
        <w:t xml:space="preserve"> Starting in 2013, assignment of college dormitories in the GQ sample was restricted to January through April and September through December. These months capture a majority of the typical college school year, reducing the chances of visiting an empty group quarters facility.</w:t>
      </w:r>
    </w:p>
  </w:footnote>
  <w:footnote w:id="27">
    <w:p w:rsidR="00C30897" w:rsidRPr="00C42F63" w:rsidRDefault="00C30897">
      <w:pPr>
        <w:pStyle w:val="FootnoteText"/>
        <w:rPr>
          <w:rFonts w:ascii="Times New Roman" w:hAnsi="Times New Roman" w:cs="Times New Roman"/>
        </w:rPr>
      </w:pPr>
      <w:r w:rsidRPr="0094032C">
        <w:rPr>
          <w:rStyle w:val="FootnoteReference"/>
          <w:rFonts w:ascii="Times New Roman" w:hAnsi="Times New Roman" w:cs="Times New Roman"/>
        </w:rPr>
        <w:footnoteRef/>
      </w:r>
      <w:r w:rsidRPr="0094032C">
        <w:rPr>
          <w:rFonts w:ascii="Times New Roman" w:hAnsi="Times New Roman" w:cs="Times New Roman"/>
        </w:rPr>
        <w:t xml:space="preserve"> For more information, see Chapter 3 of the American Community Survey Design and Methodology (January 2014) document, available at </w:t>
      </w:r>
      <w:hyperlink r:id="rId9" w:history="1">
        <w:r w:rsidRPr="00C42F63">
          <w:rPr>
            <w:rStyle w:val="Hyperlink"/>
            <w:rFonts w:ascii="Times New Roman" w:hAnsi="Times New Roman" w:cs="Times New Roman"/>
          </w:rPr>
          <w:t>http://www.census.gov/acs/www/Downloads/survey_methodology/acs_design_methodology_report_2014.pdf</w:t>
        </w:r>
      </w:hyperlink>
      <w:r w:rsidRPr="00C42F63">
        <w:rPr>
          <w:rFonts w:ascii="Times New Roman" w:hAnsi="Times New Roman" w:cs="Times New Roman"/>
        </w:rPr>
        <w:t>.</w:t>
      </w:r>
    </w:p>
  </w:footnote>
  <w:footnote w:id="28">
    <w:p w:rsidR="00C30897" w:rsidRPr="0094032C" w:rsidRDefault="00C30897" w:rsidP="003100C2">
      <w:pPr>
        <w:pStyle w:val="FootnoteText"/>
        <w:rPr>
          <w:rFonts w:ascii="Times New Roman" w:hAnsi="Times New Roman" w:cs="Times New Roman"/>
        </w:rPr>
      </w:pPr>
      <w:r w:rsidRPr="0094032C">
        <w:rPr>
          <w:rStyle w:val="FootnoteReference"/>
          <w:rFonts w:ascii="Times New Roman" w:hAnsi="Times New Roman" w:cs="Times New Roman"/>
        </w:rPr>
        <w:footnoteRef/>
      </w:r>
      <w:r w:rsidRPr="0094032C">
        <w:rPr>
          <w:rFonts w:ascii="Times New Roman" w:hAnsi="Times New Roman" w:cs="Times New Roman"/>
        </w:rPr>
        <w:t xml:space="preserve"> As a reminder, the ASEC is a supplement of the CPS. </w:t>
      </w:r>
    </w:p>
  </w:footnote>
  <w:footnote w:id="29">
    <w:p w:rsidR="00C30897" w:rsidRPr="00D3601D" w:rsidRDefault="00C30897" w:rsidP="00F80666">
      <w:pPr>
        <w:pStyle w:val="FootnoteText"/>
        <w:rPr>
          <w:rFonts w:ascii="Times New Roman" w:hAnsi="Times New Roman" w:cs="Times New Roman"/>
        </w:rPr>
      </w:pPr>
      <w:r w:rsidRPr="0094032C">
        <w:rPr>
          <w:rStyle w:val="FootnoteReference"/>
          <w:rFonts w:ascii="Times New Roman" w:hAnsi="Times New Roman" w:cs="Times New Roman"/>
        </w:rPr>
        <w:footnoteRef/>
      </w:r>
      <w:r w:rsidRPr="0094032C">
        <w:rPr>
          <w:rFonts w:ascii="Times New Roman" w:hAnsi="Times New Roman" w:cs="Times New Roman"/>
        </w:rPr>
        <w:t xml:space="preserve"> For more information, see the </w:t>
      </w:r>
      <w:r w:rsidRPr="00C42F63">
        <w:rPr>
          <w:rFonts w:ascii="Times New Roman" w:hAnsi="Times New Roman" w:cs="Times New Roman"/>
        </w:rPr>
        <w:t xml:space="preserve">Bureau of Labor Statistics Current Population Survey Technical Document April 2014, available at: </w:t>
      </w:r>
      <w:hyperlink r:id="rId10" w:history="1">
        <w:r w:rsidRPr="00C42F63">
          <w:rPr>
            <w:rStyle w:val="Hyperlink"/>
            <w:rFonts w:ascii="Times New Roman" w:hAnsi="Times New Roman" w:cs="Times New Roman"/>
          </w:rPr>
          <w:t>http://www.bls.gov/cps/sample_redesign_2014.pdf</w:t>
        </w:r>
      </w:hyperlink>
      <w:r w:rsidRPr="00C42F63">
        <w:rPr>
          <w:rFonts w:ascii="Times New Roman" w:hAnsi="Times New Roman" w:cs="Times New Roman"/>
        </w:rPr>
        <w:t>.</w:t>
      </w:r>
    </w:p>
  </w:footnote>
  <w:footnote w:id="30">
    <w:p w:rsidR="00C30897" w:rsidRPr="00C42F63" w:rsidRDefault="00C30897" w:rsidP="00307EFF">
      <w:pPr>
        <w:pStyle w:val="FootnoteText"/>
        <w:rPr>
          <w:rFonts w:ascii="Times New Roman" w:hAnsi="Times New Roman" w:cs="Times New Roman"/>
        </w:rPr>
      </w:pPr>
      <w:r w:rsidRPr="001405D9">
        <w:rPr>
          <w:rStyle w:val="FootnoteReference"/>
          <w:rFonts w:ascii="Times New Roman" w:hAnsi="Times New Roman" w:cs="Times New Roman"/>
        </w:rPr>
        <w:footnoteRef/>
      </w:r>
      <w:r w:rsidRPr="00C42F63">
        <w:rPr>
          <w:rFonts w:ascii="Times New Roman" w:hAnsi="Times New Roman" w:cs="Times New Roman"/>
        </w:rPr>
        <w:t xml:space="preserve"> Los Angeles County and New York City are independent samples, so the states of California and New York are split into two independent samples each.</w:t>
      </w:r>
    </w:p>
  </w:footnote>
  <w:footnote w:id="31">
    <w:p w:rsidR="00C30897" w:rsidRPr="00C42F63" w:rsidRDefault="00C30897" w:rsidP="00307EFF">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For more information, see Design and Methodology: Current Population Survey Technical Paper 66, chapter 3.</w:t>
      </w:r>
    </w:p>
  </w:footnote>
  <w:footnote w:id="32">
    <w:p w:rsidR="00C30897" w:rsidRPr="00C42F63"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w:t>
      </w:r>
      <w:r w:rsidRPr="001405D9">
        <w:rPr>
          <w:rFonts w:ascii="Times New Roman" w:hAnsi="Times New Roman" w:cs="Times New Roman"/>
        </w:rPr>
        <w:t>Municipio</w:t>
      </w:r>
      <w:r w:rsidRPr="00C42F63">
        <w:rPr>
          <w:rFonts w:ascii="Times New Roman" w:hAnsi="Times New Roman" w:cs="Times New Roman"/>
        </w:rPr>
        <w:t xml:space="preserve">s are the Primary legal divisions of Puerto Rico and treated as county equivalents. </w:t>
      </w:r>
    </w:p>
  </w:footnote>
  <w:footnote w:id="33">
    <w:p w:rsidR="00C30897" w:rsidRPr="00C42F63" w:rsidRDefault="00C30897">
      <w:pPr>
        <w:pStyle w:val="FootnoteText"/>
        <w:rPr>
          <w:rFonts w:ascii="Times New Roman" w:hAnsi="Times New Roman" w:cs="Times New Roman"/>
        </w:rPr>
      </w:pPr>
      <w:r w:rsidRPr="001405D9">
        <w:rPr>
          <w:rStyle w:val="FootnoteReference"/>
          <w:rFonts w:ascii="Times New Roman" w:hAnsi="Times New Roman" w:cs="Times New Roman"/>
        </w:rPr>
        <w:footnoteRef/>
      </w:r>
      <w:r w:rsidRPr="00C42F63">
        <w:rPr>
          <w:rFonts w:ascii="Times New Roman" w:hAnsi="Times New Roman" w:cs="Times New Roman"/>
        </w:rPr>
        <w:t xml:space="preserve"> For more information, see chapter 4 of the ACS Design and Methodology (January 2014) document, available at: </w:t>
      </w:r>
      <w:hyperlink r:id="rId11" w:history="1">
        <w:r w:rsidRPr="00F15053">
          <w:rPr>
            <w:rStyle w:val="Hyperlink"/>
            <w:rFonts w:ascii="Times New Roman" w:hAnsi="Times New Roman" w:cs="Times New Roman"/>
          </w:rPr>
          <w:t>http://www.census.gov/history/pdf/acsdesign-methodology2014.pdf</w:t>
        </w:r>
      </w:hyperlink>
      <w:r w:rsidRPr="00C42F63">
        <w:rPr>
          <w:rFonts w:ascii="Times New Roman" w:hAnsi="Times New Roman" w:cs="Times New Roman"/>
        </w:rPr>
        <w:t>.</w:t>
      </w:r>
    </w:p>
  </w:footnote>
  <w:footnote w:id="34">
    <w:p w:rsidR="00C30897" w:rsidRPr="00D3601D"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Wrangell City and Borough was created in 2008 from part of the former Wrangell-Petersburg Census Area and part of Prince of Wales-Outer Ketchikan Census Area. Because of geographic vintage issues, the CPS weighted county distribution for Wrangell-Petersburg Census Area was used with the ACS Wrangell City and Borough mover rate.</w:t>
      </w:r>
    </w:p>
  </w:footnote>
  <w:footnote w:id="35">
    <w:p w:rsidR="00C30897" w:rsidRPr="00C42F63" w:rsidRDefault="00C30897" w:rsidP="001B1B34">
      <w:pPr>
        <w:pStyle w:val="FootnoteText"/>
        <w:rPr>
          <w:rFonts w:ascii="Times New Roman" w:hAnsi="Times New Roman" w:cs="Times New Roman"/>
        </w:rPr>
      </w:pPr>
      <w:r w:rsidRPr="00D3601D">
        <w:rPr>
          <w:rStyle w:val="FootnoteReference"/>
          <w:rFonts w:ascii="Times New Roman" w:hAnsi="Times New Roman" w:cs="Times New Roman"/>
        </w:rPr>
        <w:footnoteRef/>
      </w:r>
      <w:r w:rsidRPr="00D3601D">
        <w:rPr>
          <w:rFonts w:ascii="Times New Roman" w:hAnsi="Times New Roman" w:cs="Times New Roman"/>
        </w:rPr>
        <w:t xml:space="preserve"> </w:t>
      </w:r>
      <w:r w:rsidRPr="00E9118C">
        <w:rPr>
          <w:rFonts w:ascii="Times New Roman" w:hAnsi="Times New Roman" w:cs="Times New Roman"/>
        </w:rPr>
        <w:t>Total nonresponse rates f</w:t>
      </w:r>
      <w:r w:rsidRPr="001405D9">
        <w:rPr>
          <w:rFonts w:ascii="Times New Roman" w:hAnsi="Times New Roman" w:cs="Times New Roman"/>
        </w:rPr>
        <w:t>or ASEC are available in Appendix G of the ASEC Supplement Technical Documentation</w:t>
      </w:r>
      <w:r w:rsidRPr="00C42F63">
        <w:rPr>
          <w:rFonts w:ascii="Times New Roman" w:hAnsi="Times New Roman" w:cs="Times New Roman"/>
        </w:rPr>
        <w:t xml:space="preserve"> published each year. This documentation is available at: </w:t>
      </w:r>
      <w:hyperlink r:id="rId12" w:history="1">
        <w:r w:rsidRPr="00C42F63">
          <w:rPr>
            <w:rStyle w:val="Hyperlink"/>
            <w:rFonts w:ascii="Times New Roman" w:hAnsi="Times New Roman" w:cs="Times New Roman"/>
          </w:rPr>
          <w:t>http://www.census.gov/cps/methodology/techdocs.html</w:t>
        </w:r>
      </w:hyperlink>
      <w:r w:rsidRPr="00C42F63">
        <w:rPr>
          <w:rFonts w:ascii="Times New Roman" w:hAnsi="Times New Roman" w:cs="Times New Roman"/>
        </w:rPr>
        <w:t>. The ACS nonresponse rates are available on the ACS website</w:t>
      </w:r>
      <w:r w:rsidRPr="00C42F63">
        <w:rPr>
          <w:rStyle w:val="Hyperlink"/>
          <w:rFonts w:ascii="Times New Roman" w:hAnsi="Times New Roman" w:cs="Times New Roman"/>
        </w:rPr>
        <w:t xml:space="preserve"> at: http://www.census.gov/acs/www/methodology/sample-size-and-data-quality/response-rates/</w:t>
      </w:r>
      <w:r w:rsidRPr="00C42F63">
        <w:rPr>
          <w:rFonts w:ascii="Times New Roman" w:hAnsi="Times New Roman" w:cs="Times New Roman"/>
        </w:rPr>
        <w:t>.</w:t>
      </w:r>
    </w:p>
  </w:footnote>
  <w:footnote w:id="36">
    <w:p w:rsidR="00C30897" w:rsidRPr="00C42F63" w:rsidRDefault="00C30897" w:rsidP="00487EA1">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Another type of FEFU, coverage FEFU, is conducted for households with more than five people since the mail questionnaire only asks detailed information for up to five people. All FEFU references in this report pertain to content FEFU.  </w:t>
      </w:r>
    </w:p>
  </w:footnote>
  <w:footnote w:id="37">
    <w:p w:rsidR="00C30897" w:rsidRPr="00574551" w:rsidRDefault="00C30897" w:rsidP="001B1B34">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Coverage FEFU operations were not reduced or suspended at any point.</w:t>
      </w:r>
      <w:r w:rsidRPr="00574551">
        <w:rPr>
          <w:rFonts w:ascii="Times New Roman" w:hAnsi="Times New Roman" w:cs="Times New Roman"/>
        </w:rPr>
        <w:t xml:space="preserve">   </w:t>
      </w:r>
    </w:p>
  </w:footnote>
  <w:footnote w:id="38">
    <w:p w:rsidR="00C30897" w:rsidRPr="00C27401" w:rsidRDefault="00C30897">
      <w:pPr>
        <w:pStyle w:val="FootnoteText"/>
        <w:rPr>
          <w:rFonts w:ascii="Times New Roman" w:hAnsi="Times New Roman" w:cs="Times New Roman"/>
        </w:rPr>
      </w:pPr>
      <w:r w:rsidRPr="00D3601D">
        <w:rPr>
          <w:rStyle w:val="FootnoteReference"/>
          <w:rFonts w:ascii="Times New Roman" w:hAnsi="Times New Roman" w:cs="Times New Roman"/>
        </w:rPr>
        <w:footnoteRef/>
      </w:r>
      <w:r w:rsidRPr="00D3601D">
        <w:rPr>
          <w:rFonts w:ascii="Times New Roman" w:hAnsi="Times New Roman" w:cs="Times New Roman"/>
        </w:rPr>
        <w:t xml:space="preserve"> </w:t>
      </w:r>
      <w:r w:rsidRPr="00C27401">
        <w:rPr>
          <w:rFonts w:ascii="Times New Roman" w:hAnsi="Times New Roman" w:cs="Times New Roman"/>
        </w:rPr>
        <w:t>There is no specific group quarters mobility status edit for ASEC.</w:t>
      </w:r>
    </w:p>
  </w:footnote>
  <w:footnote w:id="39">
    <w:p w:rsidR="00C30897" w:rsidRPr="00C42F63" w:rsidRDefault="00C30897">
      <w:pPr>
        <w:pStyle w:val="FootnoteText"/>
        <w:rPr>
          <w:rFonts w:ascii="Times New Roman" w:hAnsi="Times New Roman" w:cs="Times New Roman"/>
        </w:rPr>
      </w:pPr>
      <w:r w:rsidRPr="00C27401">
        <w:rPr>
          <w:rStyle w:val="FootnoteReference"/>
          <w:rFonts w:ascii="Times New Roman" w:hAnsi="Times New Roman" w:cs="Times New Roman"/>
        </w:rPr>
        <w:footnoteRef/>
      </w:r>
      <w:r w:rsidRPr="00C27401">
        <w:rPr>
          <w:rFonts w:ascii="Times New Roman" w:hAnsi="Times New Roman" w:cs="Times New Roman"/>
        </w:rPr>
        <w:t xml:space="preserve"> The donors for the matrices are divided by race (W</w:t>
      </w:r>
      <w:r w:rsidRPr="00E9118C">
        <w:rPr>
          <w:rFonts w:ascii="Times New Roman" w:hAnsi="Times New Roman" w:cs="Times New Roman"/>
        </w:rPr>
        <w:t xml:space="preserve">hite or </w:t>
      </w:r>
      <w:r w:rsidRPr="00C42F63">
        <w:rPr>
          <w:rFonts w:ascii="Times New Roman" w:hAnsi="Times New Roman" w:cs="Times New Roman"/>
        </w:rPr>
        <w:t>not White), household tenure (owner- or renter-occupied unit), and age/Armed Forces status (1-17 years, 18-29 years/in Armed Forces, 18-29 years/not in Armed Forces, 30-64 years/in Armed Forces, 30-64 years/not in Armed Forces, or 65 years and over).</w:t>
      </w:r>
    </w:p>
  </w:footnote>
  <w:footnote w:id="40">
    <w:p w:rsidR="00C30897" w:rsidRPr="00C42F63"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The ASEC</w:t>
      </w:r>
      <w:r w:rsidRPr="00C42F63">
        <w:rPr>
          <w:rFonts w:ascii="Times New Roman" w:hAnsi="Times New Roman" w:cs="Times New Roman"/>
          <w:b/>
        </w:rPr>
        <w:t xml:space="preserve"> </w:t>
      </w:r>
      <w:r w:rsidRPr="00C42F63">
        <w:rPr>
          <w:rFonts w:ascii="Times New Roman" w:hAnsi="Times New Roman" w:cs="Times New Roman"/>
        </w:rPr>
        <w:t>does not include information on the year and month moved in.</w:t>
      </w:r>
    </w:p>
  </w:footnote>
  <w:footnote w:id="41">
    <w:p w:rsidR="00C30897" w:rsidRPr="00C42F63" w:rsidRDefault="00C30897" w:rsidP="0092271B">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The ACS matrix for mobility status includes metropolitan area status (living in principal city in a metro, outside principal city in metro, or outside metro). Also, the </w:t>
      </w:r>
      <w:r>
        <w:rPr>
          <w:rFonts w:ascii="Times New Roman" w:hAnsi="Times New Roman" w:cs="Times New Roman"/>
        </w:rPr>
        <w:t>“</w:t>
      </w:r>
      <w:r w:rsidRPr="00C42F63">
        <w:rPr>
          <w:rFonts w:ascii="Times New Roman" w:hAnsi="Times New Roman" w:cs="Times New Roman"/>
        </w:rPr>
        <w:t>not in Armed Forces</w:t>
      </w:r>
      <w:r>
        <w:rPr>
          <w:rFonts w:ascii="Times New Roman" w:hAnsi="Times New Roman" w:cs="Times New Roman"/>
        </w:rPr>
        <w:t>”</w:t>
      </w:r>
      <w:r w:rsidRPr="00C42F63">
        <w:rPr>
          <w:rFonts w:ascii="Times New Roman" w:hAnsi="Times New Roman" w:cs="Times New Roman"/>
        </w:rPr>
        <w:t xml:space="preserve"> categories are subdivided into not a high school graduate, high school graduate only or some college, and Bachelor’s degree or higher.</w:t>
      </w:r>
    </w:p>
  </w:footnote>
  <w:footnote w:id="42">
    <w:p w:rsidR="00C30897" w:rsidRPr="003C6FEE" w:rsidRDefault="00C30897">
      <w:pPr>
        <w:pStyle w:val="FootnoteText"/>
        <w:rPr>
          <w:rFonts w:ascii="Times New Roman" w:hAnsi="Times New Roman" w:cs="Times New Roman"/>
        </w:rPr>
      </w:pPr>
      <w:r w:rsidRPr="00D3601D">
        <w:rPr>
          <w:rStyle w:val="FootnoteReference"/>
          <w:rFonts w:ascii="Times New Roman" w:hAnsi="Times New Roman" w:cs="Times New Roman"/>
        </w:rPr>
        <w:footnoteRef/>
      </w:r>
      <w:r w:rsidRPr="00D105DC">
        <w:rPr>
          <w:rFonts w:ascii="Times New Roman" w:hAnsi="Times New Roman" w:cs="Times New Roman"/>
        </w:rPr>
        <w:t>For the group quarters imputation matrix, the group quarter</w:t>
      </w:r>
      <w:r w:rsidRPr="00790C9F">
        <w:rPr>
          <w:rFonts w:ascii="Times New Roman" w:hAnsi="Times New Roman" w:cs="Times New Roman"/>
        </w:rPr>
        <w:t xml:space="preserve"> types of correctional institutions, other institutions, and all other group quarter types are divided into the age groups under 18, 18 to 44, 45 and over. Nursing homes are divi</w:t>
      </w:r>
      <w:r w:rsidRPr="003C6FEE">
        <w:rPr>
          <w:rFonts w:ascii="Times New Roman" w:hAnsi="Times New Roman" w:cs="Times New Roman"/>
        </w:rPr>
        <w:t>ded into under 45 and 45 and over. College dormitories and military quarters are not divided into age groups.</w:t>
      </w:r>
    </w:p>
  </w:footnote>
  <w:footnote w:id="43">
    <w:p w:rsidR="00C30897" w:rsidRPr="00C42F63" w:rsidRDefault="00C30897">
      <w:pPr>
        <w:pStyle w:val="FootnoteText"/>
        <w:rPr>
          <w:rFonts w:ascii="Times New Roman" w:hAnsi="Times New Roman" w:cs="Times New Roman"/>
        </w:rPr>
      </w:pPr>
      <w:r w:rsidRPr="00E3735B">
        <w:rPr>
          <w:rStyle w:val="FootnoteReference"/>
          <w:rFonts w:ascii="Times New Roman" w:hAnsi="Times New Roman" w:cs="Times New Roman"/>
        </w:rPr>
        <w:footnoteRef/>
      </w:r>
      <w:r w:rsidRPr="00E3735B">
        <w:rPr>
          <w:rFonts w:ascii="Times New Roman" w:hAnsi="Times New Roman" w:cs="Times New Roman"/>
        </w:rPr>
        <w:t xml:space="preserve"> Distance moved is not available on the ASEC Public Use Files. However, the detailed tables for migration</w:t>
      </w:r>
      <w:r>
        <w:rPr>
          <w:rFonts w:ascii="Times New Roman" w:hAnsi="Times New Roman" w:cs="Times New Roman"/>
        </w:rPr>
        <w:t xml:space="preserve">, available at </w:t>
      </w:r>
      <w:hyperlink r:id="rId13" w:history="1">
        <w:r w:rsidRPr="00062DAD">
          <w:rPr>
            <w:rStyle w:val="Hyperlink"/>
            <w:rFonts w:ascii="Times New Roman" w:hAnsi="Times New Roman" w:cs="Times New Roman"/>
          </w:rPr>
          <w:t>http://www.census.gov/hhes/migration/data/cps.html</w:t>
        </w:r>
      </w:hyperlink>
      <w:r>
        <w:rPr>
          <w:rStyle w:val="Hyperlink"/>
          <w:rFonts w:ascii="Times New Roman" w:hAnsi="Times New Roman" w:cs="Times New Roman"/>
        </w:rPr>
        <w:t>,</w:t>
      </w:r>
      <w:r w:rsidRPr="00E3735B">
        <w:rPr>
          <w:rFonts w:ascii="Times New Roman" w:hAnsi="Times New Roman" w:cs="Times New Roman"/>
        </w:rPr>
        <w:t xml:space="preserve"> contain a collapsed version of distance moved featuring the categories of less than 50 miles, 50 to 199 miles, 200 to 499 miles, and 500 miles or more.</w:t>
      </w:r>
      <w:r>
        <w:rPr>
          <w:rFonts w:ascii="Times New Roman" w:hAnsi="Times New Roman" w:cs="Times New Roman"/>
        </w:rPr>
        <w:t xml:space="preserve"> </w:t>
      </w:r>
      <w:r w:rsidRPr="00C42F63">
        <w:rPr>
          <w:rFonts w:ascii="Times New Roman" w:hAnsi="Times New Roman" w:cs="Times New Roman"/>
        </w:rPr>
        <w:t xml:space="preserve"> </w:t>
      </w:r>
    </w:p>
  </w:footnote>
  <w:footnote w:id="44">
    <w:p w:rsidR="00C30897" w:rsidRPr="00062DAD"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Distance moved could be calculated using the ACS county-to-county migration flow files. However, we are not aware of any attempts to do so.</w:t>
      </w:r>
      <w:r w:rsidRPr="00062DAD">
        <w:rPr>
          <w:rFonts w:ascii="Times New Roman" w:hAnsi="Times New Roman" w:cs="Times New Roman"/>
        </w:rPr>
        <w:t xml:space="preserve">  </w:t>
      </w:r>
    </w:p>
  </w:footnote>
  <w:footnote w:id="45">
    <w:p w:rsidR="00C30897" w:rsidRPr="00C42F63"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The Census Bureau ceased production of 3-year estimates in 2015.  The last 3-year estimate dataset is 2011-2013.</w:t>
      </w:r>
    </w:p>
  </w:footnote>
  <w:footnote w:id="46">
    <w:p w:rsidR="00C30897" w:rsidRPr="00C42F63" w:rsidRDefault="00C30897">
      <w:pPr>
        <w:pStyle w:val="FootnoteText"/>
        <w:rPr>
          <w:rFonts w:ascii="Times New Roman" w:hAnsi="Times New Roman" w:cs="Times New Roman"/>
        </w:rPr>
      </w:pPr>
      <w:r w:rsidRPr="00C42F63">
        <w:rPr>
          <w:rStyle w:val="FootnoteReference"/>
          <w:rFonts w:ascii="Times New Roman" w:hAnsi="Times New Roman" w:cs="Times New Roman"/>
        </w:rPr>
        <w:footnoteRef/>
      </w:r>
      <w:r w:rsidRPr="00C42F63">
        <w:rPr>
          <w:rFonts w:ascii="Times New Roman" w:hAnsi="Times New Roman" w:cs="Times New Roman"/>
        </w:rPr>
        <w:t xml:space="preserve"> For reasons described elsewhere (Ihrke, 2013), it is not advisable to directly compare 1-year and 5-year ASEC migration data.</w:t>
      </w:r>
    </w:p>
  </w:footnote>
  <w:footnote w:id="47">
    <w:p w:rsidR="00C30897" w:rsidRDefault="00C30897">
      <w:pPr>
        <w:pStyle w:val="FootnoteText"/>
      </w:pPr>
      <w:r w:rsidRPr="00C42F63">
        <w:rPr>
          <w:rStyle w:val="FootnoteReference"/>
          <w:rFonts w:ascii="Times New Roman" w:hAnsi="Times New Roman" w:cs="Times New Roman"/>
        </w:rPr>
        <w:footnoteRef/>
      </w:r>
      <w:r w:rsidRPr="00C42F63">
        <w:rPr>
          <w:rFonts w:ascii="Times New Roman" w:hAnsi="Times New Roman" w:cs="Times New Roman"/>
        </w:rPr>
        <w:t xml:space="preserve"> When the multiyear datasets are created, the 1-year datasets are updated with changes that occurred over the multiyear period. These changes include using the most recent vintage of geographic codes, using the latest population estimate series for population and housing controls, applying inflation factors to monetary variables, and applying any recent methodology changes. In these ways, and others not mentioned, multiyear estimates differ from taking an average of the 1-year estimates.</w:t>
      </w:r>
    </w:p>
  </w:footnote>
  <w:footnote w:id="48">
    <w:p w:rsidR="00C30897" w:rsidRDefault="00C30897">
      <w:pPr>
        <w:pStyle w:val="FootnoteText"/>
      </w:pPr>
      <w:r>
        <w:rPr>
          <w:rStyle w:val="FootnoteReference"/>
        </w:rPr>
        <w:footnoteRef/>
      </w:r>
      <w:r>
        <w:t xml:space="preserve"> </w:t>
      </w:r>
      <w:r w:rsidRPr="00F86EF2">
        <w:rPr>
          <w:rFonts w:ascii="Times New Roman" w:hAnsi="Times New Roman" w:cs="Times New Roman"/>
        </w:rPr>
        <w:t xml:space="preserve">The Census Flows mapper is available at: </w:t>
      </w:r>
      <w:hyperlink r:id="rId14" w:history="1">
        <w:r w:rsidRPr="00F86EF2">
          <w:rPr>
            <w:rStyle w:val="Hyperlink"/>
            <w:rFonts w:ascii="Times New Roman" w:hAnsi="Times New Roman" w:cs="Times New Roman"/>
          </w:rPr>
          <w:t>http://flowsmapper.geo.census.gov/</w:t>
        </w:r>
      </w:hyperlink>
      <w:r w:rsidRPr="00F86EF2">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84"/>
    <w:rsid w:val="0000111F"/>
    <w:rsid w:val="000014A1"/>
    <w:rsid w:val="0000158F"/>
    <w:rsid w:val="0000282C"/>
    <w:rsid w:val="00006DFA"/>
    <w:rsid w:val="000133D7"/>
    <w:rsid w:val="00015A0A"/>
    <w:rsid w:val="00015E97"/>
    <w:rsid w:val="00016A3E"/>
    <w:rsid w:val="00017F81"/>
    <w:rsid w:val="00020B8E"/>
    <w:rsid w:val="000210B6"/>
    <w:rsid w:val="00021911"/>
    <w:rsid w:val="00021C75"/>
    <w:rsid w:val="00022836"/>
    <w:rsid w:val="00022A2D"/>
    <w:rsid w:val="00024860"/>
    <w:rsid w:val="00024E58"/>
    <w:rsid w:val="00027B4E"/>
    <w:rsid w:val="00027C48"/>
    <w:rsid w:val="00031594"/>
    <w:rsid w:val="00031C4D"/>
    <w:rsid w:val="00034B43"/>
    <w:rsid w:val="00035150"/>
    <w:rsid w:val="00035AFC"/>
    <w:rsid w:val="00037948"/>
    <w:rsid w:val="0004037C"/>
    <w:rsid w:val="00040421"/>
    <w:rsid w:val="00040499"/>
    <w:rsid w:val="000407CD"/>
    <w:rsid w:val="0004133D"/>
    <w:rsid w:val="00043098"/>
    <w:rsid w:val="00046B8C"/>
    <w:rsid w:val="00047927"/>
    <w:rsid w:val="00047AEF"/>
    <w:rsid w:val="00050D45"/>
    <w:rsid w:val="00054B36"/>
    <w:rsid w:val="00055532"/>
    <w:rsid w:val="000564C3"/>
    <w:rsid w:val="00056E41"/>
    <w:rsid w:val="0005736E"/>
    <w:rsid w:val="000575ED"/>
    <w:rsid w:val="00057E1F"/>
    <w:rsid w:val="000612CB"/>
    <w:rsid w:val="000613E0"/>
    <w:rsid w:val="0006154D"/>
    <w:rsid w:val="0006258B"/>
    <w:rsid w:val="000625E8"/>
    <w:rsid w:val="00062CCA"/>
    <w:rsid w:val="00062DAD"/>
    <w:rsid w:val="00062F38"/>
    <w:rsid w:val="000632A4"/>
    <w:rsid w:val="0006356B"/>
    <w:rsid w:val="000645C8"/>
    <w:rsid w:val="00065670"/>
    <w:rsid w:val="00066F78"/>
    <w:rsid w:val="00070CEC"/>
    <w:rsid w:val="00070DBA"/>
    <w:rsid w:val="00071531"/>
    <w:rsid w:val="0007163C"/>
    <w:rsid w:val="00072585"/>
    <w:rsid w:val="00072EC9"/>
    <w:rsid w:val="00073B7E"/>
    <w:rsid w:val="000748AC"/>
    <w:rsid w:val="0007526A"/>
    <w:rsid w:val="00075C1A"/>
    <w:rsid w:val="00075F0D"/>
    <w:rsid w:val="0007679E"/>
    <w:rsid w:val="00076F22"/>
    <w:rsid w:val="000775C9"/>
    <w:rsid w:val="0008040D"/>
    <w:rsid w:val="00081683"/>
    <w:rsid w:val="00081E2D"/>
    <w:rsid w:val="0008230B"/>
    <w:rsid w:val="0008250C"/>
    <w:rsid w:val="00082A30"/>
    <w:rsid w:val="00083A6F"/>
    <w:rsid w:val="00083B68"/>
    <w:rsid w:val="00083CF3"/>
    <w:rsid w:val="00084596"/>
    <w:rsid w:val="000845B0"/>
    <w:rsid w:val="0008464F"/>
    <w:rsid w:val="00086059"/>
    <w:rsid w:val="00087F9D"/>
    <w:rsid w:val="00090210"/>
    <w:rsid w:val="000918B5"/>
    <w:rsid w:val="00092758"/>
    <w:rsid w:val="00092C1B"/>
    <w:rsid w:val="00092FE9"/>
    <w:rsid w:val="00095AB1"/>
    <w:rsid w:val="00095E55"/>
    <w:rsid w:val="000A0B28"/>
    <w:rsid w:val="000A28CD"/>
    <w:rsid w:val="000A38C9"/>
    <w:rsid w:val="000A4168"/>
    <w:rsid w:val="000A5CC6"/>
    <w:rsid w:val="000B015D"/>
    <w:rsid w:val="000B18D0"/>
    <w:rsid w:val="000B2E5C"/>
    <w:rsid w:val="000B3042"/>
    <w:rsid w:val="000B51E4"/>
    <w:rsid w:val="000B597D"/>
    <w:rsid w:val="000B76B8"/>
    <w:rsid w:val="000C1324"/>
    <w:rsid w:val="000C1FE2"/>
    <w:rsid w:val="000C3326"/>
    <w:rsid w:val="000C3698"/>
    <w:rsid w:val="000C4DF2"/>
    <w:rsid w:val="000D02F4"/>
    <w:rsid w:val="000D0841"/>
    <w:rsid w:val="000D0C7D"/>
    <w:rsid w:val="000D0F19"/>
    <w:rsid w:val="000D294A"/>
    <w:rsid w:val="000D3582"/>
    <w:rsid w:val="000D53E2"/>
    <w:rsid w:val="000D54D7"/>
    <w:rsid w:val="000D5506"/>
    <w:rsid w:val="000D5FBA"/>
    <w:rsid w:val="000D6F79"/>
    <w:rsid w:val="000D7E4E"/>
    <w:rsid w:val="000D7FB2"/>
    <w:rsid w:val="000E119C"/>
    <w:rsid w:val="000E3677"/>
    <w:rsid w:val="000E3D9A"/>
    <w:rsid w:val="000E4BB7"/>
    <w:rsid w:val="000E67FB"/>
    <w:rsid w:val="000E732A"/>
    <w:rsid w:val="000E7829"/>
    <w:rsid w:val="000E7D18"/>
    <w:rsid w:val="000F00DC"/>
    <w:rsid w:val="000F1A10"/>
    <w:rsid w:val="000F29D3"/>
    <w:rsid w:val="000F342B"/>
    <w:rsid w:val="000F3966"/>
    <w:rsid w:val="000F5730"/>
    <w:rsid w:val="000F5AC4"/>
    <w:rsid w:val="000F68BA"/>
    <w:rsid w:val="001016C6"/>
    <w:rsid w:val="001016FF"/>
    <w:rsid w:val="0010173F"/>
    <w:rsid w:val="00101BEE"/>
    <w:rsid w:val="00101CFC"/>
    <w:rsid w:val="00102A55"/>
    <w:rsid w:val="00103552"/>
    <w:rsid w:val="00103671"/>
    <w:rsid w:val="00103AB6"/>
    <w:rsid w:val="0010419D"/>
    <w:rsid w:val="00107E78"/>
    <w:rsid w:val="00111D67"/>
    <w:rsid w:val="00113A41"/>
    <w:rsid w:val="00113A58"/>
    <w:rsid w:val="00114EB4"/>
    <w:rsid w:val="001158AE"/>
    <w:rsid w:val="001164A6"/>
    <w:rsid w:val="00117C4F"/>
    <w:rsid w:val="00117E8A"/>
    <w:rsid w:val="00121264"/>
    <w:rsid w:val="0012221B"/>
    <w:rsid w:val="00122A1A"/>
    <w:rsid w:val="0012331C"/>
    <w:rsid w:val="0012334A"/>
    <w:rsid w:val="00123B73"/>
    <w:rsid w:val="001246B7"/>
    <w:rsid w:val="0012482C"/>
    <w:rsid w:val="00124903"/>
    <w:rsid w:val="00125DF0"/>
    <w:rsid w:val="001264CA"/>
    <w:rsid w:val="0012733C"/>
    <w:rsid w:val="0012786F"/>
    <w:rsid w:val="00127960"/>
    <w:rsid w:val="001309D2"/>
    <w:rsid w:val="00132F79"/>
    <w:rsid w:val="00134014"/>
    <w:rsid w:val="001354EA"/>
    <w:rsid w:val="00135D4B"/>
    <w:rsid w:val="00136AB3"/>
    <w:rsid w:val="001378EC"/>
    <w:rsid w:val="001405D9"/>
    <w:rsid w:val="00140897"/>
    <w:rsid w:val="0014095A"/>
    <w:rsid w:val="00142230"/>
    <w:rsid w:val="001432DB"/>
    <w:rsid w:val="00144B99"/>
    <w:rsid w:val="00144C57"/>
    <w:rsid w:val="001500E8"/>
    <w:rsid w:val="0015032D"/>
    <w:rsid w:val="00150EEF"/>
    <w:rsid w:val="00151D5D"/>
    <w:rsid w:val="00153578"/>
    <w:rsid w:val="00156F38"/>
    <w:rsid w:val="0015712D"/>
    <w:rsid w:val="0015729A"/>
    <w:rsid w:val="00157FB3"/>
    <w:rsid w:val="0016085D"/>
    <w:rsid w:val="00161301"/>
    <w:rsid w:val="0016242F"/>
    <w:rsid w:val="001651F1"/>
    <w:rsid w:val="00165668"/>
    <w:rsid w:val="00165BAF"/>
    <w:rsid w:val="0016642D"/>
    <w:rsid w:val="00166A43"/>
    <w:rsid w:val="00167AE5"/>
    <w:rsid w:val="00167D1B"/>
    <w:rsid w:val="00170324"/>
    <w:rsid w:val="001709AE"/>
    <w:rsid w:val="0017112E"/>
    <w:rsid w:val="00171EC7"/>
    <w:rsid w:val="00172A0E"/>
    <w:rsid w:val="00174802"/>
    <w:rsid w:val="00175424"/>
    <w:rsid w:val="00175656"/>
    <w:rsid w:val="001758D8"/>
    <w:rsid w:val="00175F4D"/>
    <w:rsid w:val="00176267"/>
    <w:rsid w:val="00176F89"/>
    <w:rsid w:val="001776C7"/>
    <w:rsid w:val="00180B3C"/>
    <w:rsid w:val="001814D5"/>
    <w:rsid w:val="00181A13"/>
    <w:rsid w:val="00181BE1"/>
    <w:rsid w:val="001824B2"/>
    <w:rsid w:val="0018255D"/>
    <w:rsid w:val="001830A7"/>
    <w:rsid w:val="00183B4E"/>
    <w:rsid w:val="00185C58"/>
    <w:rsid w:val="00187E4B"/>
    <w:rsid w:val="0019197A"/>
    <w:rsid w:val="00192417"/>
    <w:rsid w:val="00192CA5"/>
    <w:rsid w:val="00193AA9"/>
    <w:rsid w:val="00195457"/>
    <w:rsid w:val="001974AE"/>
    <w:rsid w:val="00197A1E"/>
    <w:rsid w:val="00197EF9"/>
    <w:rsid w:val="001A1F86"/>
    <w:rsid w:val="001A259B"/>
    <w:rsid w:val="001A2B8E"/>
    <w:rsid w:val="001A2EAC"/>
    <w:rsid w:val="001A31FC"/>
    <w:rsid w:val="001A3429"/>
    <w:rsid w:val="001A3C61"/>
    <w:rsid w:val="001A40FE"/>
    <w:rsid w:val="001A419E"/>
    <w:rsid w:val="001A4603"/>
    <w:rsid w:val="001A460B"/>
    <w:rsid w:val="001A47C3"/>
    <w:rsid w:val="001A56E1"/>
    <w:rsid w:val="001A5898"/>
    <w:rsid w:val="001A78FD"/>
    <w:rsid w:val="001A7C76"/>
    <w:rsid w:val="001B009F"/>
    <w:rsid w:val="001B1552"/>
    <w:rsid w:val="001B1584"/>
    <w:rsid w:val="001B178C"/>
    <w:rsid w:val="001B1B34"/>
    <w:rsid w:val="001B4E90"/>
    <w:rsid w:val="001B6467"/>
    <w:rsid w:val="001B66B7"/>
    <w:rsid w:val="001C0D20"/>
    <w:rsid w:val="001C1250"/>
    <w:rsid w:val="001C283D"/>
    <w:rsid w:val="001C31B0"/>
    <w:rsid w:val="001C3881"/>
    <w:rsid w:val="001C51DD"/>
    <w:rsid w:val="001C53CA"/>
    <w:rsid w:val="001C6FCC"/>
    <w:rsid w:val="001D012E"/>
    <w:rsid w:val="001D024B"/>
    <w:rsid w:val="001D08C6"/>
    <w:rsid w:val="001D21D7"/>
    <w:rsid w:val="001D2A7C"/>
    <w:rsid w:val="001D3C02"/>
    <w:rsid w:val="001D4123"/>
    <w:rsid w:val="001D4534"/>
    <w:rsid w:val="001D5613"/>
    <w:rsid w:val="001D61A4"/>
    <w:rsid w:val="001D69A8"/>
    <w:rsid w:val="001D6B88"/>
    <w:rsid w:val="001D6B98"/>
    <w:rsid w:val="001D7296"/>
    <w:rsid w:val="001D7442"/>
    <w:rsid w:val="001E222C"/>
    <w:rsid w:val="001E4E72"/>
    <w:rsid w:val="001E55EE"/>
    <w:rsid w:val="001E6035"/>
    <w:rsid w:val="001E67FB"/>
    <w:rsid w:val="001E7331"/>
    <w:rsid w:val="001F0495"/>
    <w:rsid w:val="001F7115"/>
    <w:rsid w:val="0020124F"/>
    <w:rsid w:val="00202D8B"/>
    <w:rsid w:val="00203F14"/>
    <w:rsid w:val="002053D1"/>
    <w:rsid w:val="00205BB3"/>
    <w:rsid w:val="0020727B"/>
    <w:rsid w:val="00210773"/>
    <w:rsid w:val="00211132"/>
    <w:rsid w:val="00211629"/>
    <w:rsid w:val="002146F5"/>
    <w:rsid w:val="00214B65"/>
    <w:rsid w:val="002163C5"/>
    <w:rsid w:val="002168DC"/>
    <w:rsid w:val="002169AE"/>
    <w:rsid w:val="002254A4"/>
    <w:rsid w:val="00226B13"/>
    <w:rsid w:val="00230525"/>
    <w:rsid w:val="00230866"/>
    <w:rsid w:val="00230C66"/>
    <w:rsid w:val="00231347"/>
    <w:rsid w:val="0023263D"/>
    <w:rsid w:val="0023278A"/>
    <w:rsid w:val="00232B2C"/>
    <w:rsid w:val="00232F45"/>
    <w:rsid w:val="0023668A"/>
    <w:rsid w:val="00236F05"/>
    <w:rsid w:val="00237AFA"/>
    <w:rsid w:val="00241D2A"/>
    <w:rsid w:val="0024212D"/>
    <w:rsid w:val="002470AA"/>
    <w:rsid w:val="00250EAB"/>
    <w:rsid w:val="002561A5"/>
    <w:rsid w:val="002605C4"/>
    <w:rsid w:val="00260787"/>
    <w:rsid w:val="002653DF"/>
    <w:rsid w:val="00266696"/>
    <w:rsid w:val="002676B8"/>
    <w:rsid w:val="00270381"/>
    <w:rsid w:val="00270622"/>
    <w:rsid w:val="00270741"/>
    <w:rsid w:val="00271A54"/>
    <w:rsid w:val="00276E5A"/>
    <w:rsid w:val="00277850"/>
    <w:rsid w:val="00280302"/>
    <w:rsid w:val="0028241C"/>
    <w:rsid w:val="002833D6"/>
    <w:rsid w:val="00284770"/>
    <w:rsid w:val="002850F8"/>
    <w:rsid w:val="00285B4E"/>
    <w:rsid w:val="002878AA"/>
    <w:rsid w:val="00287C69"/>
    <w:rsid w:val="0029083F"/>
    <w:rsid w:val="00292536"/>
    <w:rsid w:val="00292863"/>
    <w:rsid w:val="00292991"/>
    <w:rsid w:val="0029503C"/>
    <w:rsid w:val="00296E18"/>
    <w:rsid w:val="002A00DF"/>
    <w:rsid w:val="002A191B"/>
    <w:rsid w:val="002A1C8A"/>
    <w:rsid w:val="002A23E9"/>
    <w:rsid w:val="002A347B"/>
    <w:rsid w:val="002A530A"/>
    <w:rsid w:val="002A6DE8"/>
    <w:rsid w:val="002A7DD3"/>
    <w:rsid w:val="002B17BE"/>
    <w:rsid w:val="002B2893"/>
    <w:rsid w:val="002B3564"/>
    <w:rsid w:val="002B3B1E"/>
    <w:rsid w:val="002B55CD"/>
    <w:rsid w:val="002B6795"/>
    <w:rsid w:val="002B7E00"/>
    <w:rsid w:val="002C1196"/>
    <w:rsid w:val="002C2BD5"/>
    <w:rsid w:val="002C2D6F"/>
    <w:rsid w:val="002C31A7"/>
    <w:rsid w:val="002C3AB5"/>
    <w:rsid w:val="002C3D67"/>
    <w:rsid w:val="002C5682"/>
    <w:rsid w:val="002C670B"/>
    <w:rsid w:val="002C6C80"/>
    <w:rsid w:val="002C7BFF"/>
    <w:rsid w:val="002D058B"/>
    <w:rsid w:val="002D05DB"/>
    <w:rsid w:val="002D0B25"/>
    <w:rsid w:val="002D0F63"/>
    <w:rsid w:val="002D1D1D"/>
    <w:rsid w:val="002D2CFC"/>
    <w:rsid w:val="002D2D58"/>
    <w:rsid w:val="002D3325"/>
    <w:rsid w:val="002D334B"/>
    <w:rsid w:val="002D4A37"/>
    <w:rsid w:val="002D511D"/>
    <w:rsid w:val="002D73B7"/>
    <w:rsid w:val="002D7A53"/>
    <w:rsid w:val="002E00CB"/>
    <w:rsid w:val="002E0CAB"/>
    <w:rsid w:val="002E4718"/>
    <w:rsid w:val="002E4E23"/>
    <w:rsid w:val="002E55D0"/>
    <w:rsid w:val="002E6C5A"/>
    <w:rsid w:val="002F03BF"/>
    <w:rsid w:val="002F053F"/>
    <w:rsid w:val="002F166C"/>
    <w:rsid w:val="002F2121"/>
    <w:rsid w:val="002F26A2"/>
    <w:rsid w:val="002F2836"/>
    <w:rsid w:val="002F2D0F"/>
    <w:rsid w:val="002F37A8"/>
    <w:rsid w:val="002F47EB"/>
    <w:rsid w:val="002F535D"/>
    <w:rsid w:val="002F694E"/>
    <w:rsid w:val="002F6B3A"/>
    <w:rsid w:val="003007DE"/>
    <w:rsid w:val="00300E0B"/>
    <w:rsid w:val="003010A3"/>
    <w:rsid w:val="003012D5"/>
    <w:rsid w:val="00302C16"/>
    <w:rsid w:val="00302CA9"/>
    <w:rsid w:val="00303665"/>
    <w:rsid w:val="0030434D"/>
    <w:rsid w:val="003043E4"/>
    <w:rsid w:val="0030520E"/>
    <w:rsid w:val="003056D0"/>
    <w:rsid w:val="00306E5C"/>
    <w:rsid w:val="00307142"/>
    <w:rsid w:val="00307EFF"/>
    <w:rsid w:val="003100C2"/>
    <w:rsid w:val="00310C29"/>
    <w:rsid w:val="0031285D"/>
    <w:rsid w:val="00313A72"/>
    <w:rsid w:val="00313C68"/>
    <w:rsid w:val="00315868"/>
    <w:rsid w:val="00316147"/>
    <w:rsid w:val="0031646E"/>
    <w:rsid w:val="00316EFF"/>
    <w:rsid w:val="003172FF"/>
    <w:rsid w:val="00317CE8"/>
    <w:rsid w:val="00320F6B"/>
    <w:rsid w:val="003223B9"/>
    <w:rsid w:val="00322CB6"/>
    <w:rsid w:val="003232F3"/>
    <w:rsid w:val="00323464"/>
    <w:rsid w:val="00324396"/>
    <w:rsid w:val="0032501B"/>
    <w:rsid w:val="003253A5"/>
    <w:rsid w:val="00325584"/>
    <w:rsid w:val="00325948"/>
    <w:rsid w:val="00326B13"/>
    <w:rsid w:val="00326FFE"/>
    <w:rsid w:val="00327385"/>
    <w:rsid w:val="00331FB2"/>
    <w:rsid w:val="0033365A"/>
    <w:rsid w:val="003338C8"/>
    <w:rsid w:val="0033431B"/>
    <w:rsid w:val="003344F5"/>
    <w:rsid w:val="00335042"/>
    <w:rsid w:val="00335609"/>
    <w:rsid w:val="0033698E"/>
    <w:rsid w:val="003369D5"/>
    <w:rsid w:val="00336B9F"/>
    <w:rsid w:val="00337DF0"/>
    <w:rsid w:val="00341B5D"/>
    <w:rsid w:val="00341E82"/>
    <w:rsid w:val="00342A81"/>
    <w:rsid w:val="00343271"/>
    <w:rsid w:val="00344E86"/>
    <w:rsid w:val="003456C2"/>
    <w:rsid w:val="00345E56"/>
    <w:rsid w:val="00346713"/>
    <w:rsid w:val="00347C9D"/>
    <w:rsid w:val="00347F85"/>
    <w:rsid w:val="00347F99"/>
    <w:rsid w:val="00350440"/>
    <w:rsid w:val="00350B26"/>
    <w:rsid w:val="00350B63"/>
    <w:rsid w:val="0035120F"/>
    <w:rsid w:val="003515D7"/>
    <w:rsid w:val="00352550"/>
    <w:rsid w:val="00353E11"/>
    <w:rsid w:val="003545BD"/>
    <w:rsid w:val="0035593F"/>
    <w:rsid w:val="00362BE4"/>
    <w:rsid w:val="003637B2"/>
    <w:rsid w:val="00363A29"/>
    <w:rsid w:val="00364180"/>
    <w:rsid w:val="0036538D"/>
    <w:rsid w:val="00372400"/>
    <w:rsid w:val="00372586"/>
    <w:rsid w:val="00373A57"/>
    <w:rsid w:val="00373E70"/>
    <w:rsid w:val="00374A1F"/>
    <w:rsid w:val="00374FAE"/>
    <w:rsid w:val="00375C30"/>
    <w:rsid w:val="00376793"/>
    <w:rsid w:val="00376BB1"/>
    <w:rsid w:val="00376D3D"/>
    <w:rsid w:val="00377CD6"/>
    <w:rsid w:val="00380189"/>
    <w:rsid w:val="00381129"/>
    <w:rsid w:val="00382A3C"/>
    <w:rsid w:val="00386E16"/>
    <w:rsid w:val="00387AD0"/>
    <w:rsid w:val="00390923"/>
    <w:rsid w:val="00391A0D"/>
    <w:rsid w:val="00391AFF"/>
    <w:rsid w:val="00391FAF"/>
    <w:rsid w:val="00392C08"/>
    <w:rsid w:val="00392DDB"/>
    <w:rsid w:val="003930A0"/>
    <w:rsid w:val="0039409C"/>
    <w:rsid w:val="003947E3"/>
    <w:rsid w:val="00396046"/>
    <w:rsid w:val="00396D75"/>
    <w:rsid w:val="003A0B64"/>
    <w:rsid w:val="003A0C2F"/>
    <w:rsid w:val="003A4B7E"/>
    <w:rsid w:val="003A55FA"/>
    <w:rsid w:val="003B03D6"/>
    <w:rsid w:val="003B0873"/>
    <w:rsid w:val="003B3F52"/>
    <w:rsid w:val="003B4CD0"/>
    <w:rsid w:val="003B63DF"/>
    <w:rsid w:val="003B7AD9"/>
    <w:rsid w:val="003C139C"/>
    <w:rsid w:val="003C1462"/>
    <w:rsid w:val="003C572B"/>
    <w:rsid w:val="003C6AB1"/>
    <w:rsid w:val="003C6FEE"/>
    <w:rsid w:val="003C77A0"/>
    <w:rsid w:val="003D1081"/>
    <w:rsid w:val="003D14A8"/>
    <w:rsid w:val="003D19AA"/>
    <w:rsid w:val="003D5061"/>
    <w:rsid w:val="003D745F"/>
    <w:rsid w:val="003D7D2D"/>
    <w:rsid w:val="003D7E2C"/>
    <w:rsid w:val="003E03F7"/>
    <w:rsid w:val="003E074E"/>
    <w:rsid w:val="003E1047"/>
    <w:rsid w:val="003E1055"/>
    <w:rsid w:val="003E120D"/>
    <w:rsid w:val="003E2496"/>
    <w:rsid w:val="003E2A2C"/>
    <w:rsid w:val="003E4A57"/>
    <w:rsid w:val="003E7653"/>
    <w:rsid w:val="003E7BBA"/>
    <w:rsid w:val="003F0149"/>
    <w:rsid w:val="003F09B3"/>
    <w:rsid w:val="003F09D5"/>
    <w:rsid w:val="003F13F9"/>
    <w:rsid w:val="003F1E3B"/>
    <w:rsid w:val="003F24C9"/>
    <w:rsid w:val="003F2B73"/>
    <w:rsid w:val="003F2F9B"/>
    <w:rsid w:val="003F3173"/>
    <w:rsid w:val="003F4DCE"/>
    <w:rsid w:val="003F7DC1"/>
    <w:rsid w:val="00400D78"/>
    <w:rsid w:val="004018A8"/>
    <w:rsid w:val="00401A00"/>
    <w:rsid w:val="00406B4A"/>
    <w:rsid w:val="00406B83"/>
    <w:rsid w:val="00406EBF"/>
    <w:rsid w:val="00407AE1"/>
    <w:rsid w:val="00407C84"/>
    <w:rsid w:val="00412508"/>
    <w:rsid w:val="0041310E"/>
    <w:rsid w:val="0041349C"/>
    <w:rsid w:val="00414A59"/>
    <w:rsid w:val="00417DFD"/>
    <w:rsid w:val="00417EFD"/>
    <w:rsid w:val="00420BCF"/>
    <w:rsid w:val="0042123B"/>
    <w:rsid w:val="00421866"/>
    <w:rsid w:val="00422E87"/>
    <w:rsid w:val="00422ED7"/>
    <w:rsid w:val="0042353D"/>
    <w:rsid w:val="0042423D"/>
    <w:rsid w:val="004254F0"/>
    <w:rsid w:val="00425CE7"/>
    <w:rsid w:val="004306E9"/>
    <w:rsid w:val="004327DD"/>
    <w:rsid w:val="00433AD7"/>
    <w:rsid w:val="00435BA9"/>
    <w:rsid w:val="00442139"/>
    <w:rsid w:val="004446AA"/>
    <w:rsid w:val="004450BF"/>
    <w:rsid w:val="0044532F"/>
    <w:rsid w:val="00450981"/>
    <w:rsid w:val="00452455"/>
    <w:rsid w:val="004525DE"/>
    <w:rsid w:val="0045291C"/>
    <w:rsid w:val="00452FBE"/>
    <w:rsid w:val="004538D6"/>
    <w:rsid w:val="00453CE4"/>
    <w:rsid w:val="00456EAB"/>
    <w:rsid w:val="004573FE"/>
    <w:rsid w:val="00460EA3"/>
    <w:rsid w:val="004611B8"/>
    <w:rsid w:val="00461FEF"/>
    <w:rsid w:val="00462D67"/>
    <w:rsid w:val="004645C7"/>
    <w:rsid w:val="00470855"/>
    <w:rsid w:val="00470C31"/>
    <w:rsid w:val="00472EA0"/>
    <w:rsid w:val="00473AEE"/>
    <w:rsid w:val="00474425"/>
    <w:rsid w:val="004744C4"/>
    <w:rsid w:val="0047481B"/>
    <w:rsid w:val="004749EB"/>
    <w:rsid w:val="00475281"/>
    <w:rsid w:val="0047567C"/>
    <w:rsid w:val="00475A5F"/>
    <w:rsid w:val="00476F3D"/>
    <w:rsid w:val="00480CC1"/>
    <w:rsid w:val="0048158B"/>
    <w:rsid w:val="0048237A"/>
    <w:rsid w:val="00482721"/>
    <w:rsid w:val="00484DD4"/>
    <w:rsid w:val="004867E1"/>
    <w:rsid w:val="00486CE2"/>
    <w:rsid w:val="00487EA1"/>
    <w:rsid w:val="004903D9"/>
    <w:rsid w:val="00492166"/>
    <w:rsid w:val="004931A7"/>
    <w:rsid w:val="00496275"/>
    <w:rsid w:val="004968D0"/>
    <w:rsid w:val="00496F44"/>
    <w:rsid w:val="004972F5"/>
    <w:rsid w:val="004A0A43"/>
    <w:rsid w:val="004A1117"/>
    <w:rsid w:val="004A1AB3"/>
    <w:rsid w:val="004A4385"/>
    <w:rsid w:val="004A6BA6"/>
    <w:rsid w:val="004A7168"/>
    <w:rsid w:val="004A737D"/>
    <w:rsid w:val="004A75D4"/>
    <w:rsid w:val="004A7D82"/>
    <w:rsid w:val="004B18D6"/>
    <w:rsid w:val="004B3ACE"/>
    <w:rsid w:val="004B4CDF"/>
    <w:rsid w:val="004B7368"/>
    <w:rsid w:val="004C018E"/>
    <w:rsid w:val="004C47F8"/>
    <w:rsid w:val="004C740E"/>
    <w:rsid w:val="004D0693"/>
    <w:rsid w:val="004D078E"/>
    <w:rsid w:val="004D293D"/>
    <w:rsid w:val="004D4F88"/>
    <w:rsid w:val="004D5659"/>
    <w:rsid w:val="004D5C62"/>
    <w:rsid w:val="004E0506"/>
    <w:rsid w:val="004E1106"/>
    <w:rsid w:val="004E1973"/>
    <w:rsid w:val="004E1D66"/>
    <w:rsid w:val="004E41FB"/>
    <w:rsid w:val="004E45D9"/>
    <w:rsid w:val="004E4931"/>
    <w:rsid w:val="004E4BCC"/>
    <w:rsid w:val="004E517E"/>
    <w:rsid w:val="004E6B09"/>
    <w:rsid w:val="004F13F2"/>
    <w:rsid w:val="004F29E0"/>
    <w:rsid w:val="004F36A6"/>
    <w:rsid w:val="004F3E8A"/>
    <w:rsid w:val="004F492E"/>
    <w:rsid w:val="004F4B40"/>
    <w:rsid w:val="004F5AA4"/>
    <w:rsid w:val="004F5FD0"/>
    <w:rsid w:val="004F622D"/>
    <w:rsid w:val="004F66CA"/>
    <w:rsid w:val="004F6F2D"/>
    <w:rsid w:val="004F7A54"/>
    <w:rsid w:val="004F7EE2"/>
    <w:rsid w:val="005011B5"/>
    <w:rsid w:val="00506484"/>
    <w:rsid w:val="005078B4"/>
    <w:rsid w:val="005078E0"/>
    <w:rsid w:val="00510608"/>
    <w:rsid w:val="00510BCB"/>
    <w:rsid w:val="00511C03"/>
    <w:rsid w:val="005122E0"/>
    <w:rsid w:val="00514E6C"/>
    <w:rsid w:val="005219C2"/>
    <w:rsid w:val="005225FF"/>
    <w:rsid w:val="00523C6A"/>
    <w:rsid w:val="00524B3F"/>
    <w:rsid w:val="00525E6B"/>
    <w:rsid w:val="00527823"/>
    <w:rsid w:val="00527D2A"/>
    <w:rsid w:val="00530B4E"/>
    <w:rsid w:val="0053248D"/>
    <w:rsid w:val="005330FE"/>
    <w:rsid w:val="005333ED"/>
    <w:rsid w:val="00534252"/>
    <w:rsid w:val="00534C37"/>
    <w:rsid w:val="00536753"/>
    <w:rsid w:val="0054057E"/>
    <w:rsid w:val="00541941"/>
    <w:rsid w:val="00542939"/>
    <w:rsid w:val="005435D2"/>
    <w:rsid w:val="00544F9F"/>
    <w:rsid w:val="00546276"/>
    <w:rsid w:val="0054655B"/>
    <w:rsid w:val="00546D01"/>
    <w:rsid w:val="00547C78"/>
    <w:rsid w:val="0055054A"/>
    <w:rsid w:val="0055144C"/>
    <w:rsid w:val="00552B6F"/>
    <w:rsid w:val="00552E51"/>
    <w:rsid w:val="00553B68"/>
    <w:rsid w:val="00554761"/>
    <w:rsid w:val="00556155"/>
    <w:rsid w:val="005642D9"/>
    <w:rsid w:val="00564878"/>
    <w:rsid w:val="00565C89"/>
    <w:rsid w:val="005674B5"/>
    <w:rsid w:val="0057160E"/>
    <w:rsid w:val="0057172E"/>
    <w:rsid w:val="00572ED0"/>
    <w:rsid w:val="0057354A"/>
    <w:rsid w:val="00573AF4"/>
    <w:rsid w:val="00574551"/>
    <w:rsid w:val="0057523E"/>
    <w:rsid w:val="005764FA"/>
    <w:rsid w:val="00577816"/>
    <w:rsid w:val="00577AC7"/>
    <w:rsid w:val="0058002B"/>
    <w:rsid w:val="005804E4"/>
    <w:rsid w:val="00581F38"/>
    <w:rsid w:val="00582838"/>
    <w:rsid w:val="005841EB"/>
    <w:rsid w:val="00584876"/>
    <w:rsid w:val="00585CF3"/>
    <w:rsid w:val="00585DC2"/>
    <w:rsid w:val="00586B25"/>
    <w:rsid w:val="00591C1C"/>
    <w:rsid w:val="00592357"/>
    <w:rsid w:val="005958D8"/>
    <w:rsid w:val="00596B97"/>
    <w:rsid w:val="005A00B8"/>
    <w:rsid w:val="005A1C34"/>
    <w:rsid w:val="005A2B3A"/>
    <w:rsid w:val="005A4A3B"/>
    <w:rsid w:val="005A4E02"/>
    <w:rsid w:val="005A61A4"/>
    <w:rsid w:val="005A6774"/>
    <w:rsid w:val="005A7D19"/>
    <w:rsid w:val="005A7DBF"/>
    <w:rsid w:val="005B015D"/>
    <w:rsid w:val="005B0190"/>
    <w:rsid w:val="005B04C6"/>
    <w:rsid w:val="005B2563"/>
    <w:rsid w:val="005B351F"/>
    <w:rsid w:val="005B3AAB"/>
    <w:rsid w:val="005B56EB"/>
    <w:rsid w:val="005C05F2"/>
    <w:rsid w:val="005C0707"/>
    <w:rsid w:val="005C16C0"/>
    <w:rsid w:val="005C1ED2"/>
    <w:rsid w:val="005C2E23"/>
    <w:rsid w:val="005C4A26"/>
    <w:rsid w:val="005C4E9F"/>
    <w:rsid w:val="005C59D7"/>
    <w:rsid w:val="005C5C49"/>
    <w:rsid w:val="005D02C8"/>
    <w:rsid w:val="005D0FA3"/>
    <w:rsid w:val="005D1293"/>
    <w:rsid w:val="005D1F58"/>
    <w:rsid w:val="005D39C5"/>
    <w:rsid w:val="005D3E81"/>
    <w:rsid w:val="005D3E96"/>
    <w:rsid w:val="005D49FE"/>
    <w:rsid w:val="005D6013"/>
    <w:rsid w:val="005D6187"/>
    <w:rsid w:val="005D63C1"/>
    <w:rsid w:val="005E07F1"/>
    <w:rsid w:val="005E3627"/>
    <w:rsid w:val="005E3CCC"/>
    <w:rsid w:val="005E4F9E"/>
    <w:rsid w:val="005E64A5"/>
    <w:rsid w:val="005E677E"/>
    <w:rsid w:val="005E76F4"/>
    <w:rsid w:val="005F04E9"/>
    <w:rsid w:val="005F2C5C"/>
    <w:rsid w:val="005F3F06"/>
    <w:rsid w:val="005F5400"/>
    <w:rsid w:val="005F7F84"/>
    <w:rsid w:val="00600B64"/>
    <w:rsid w:val="0060222C"/>
    <w:rsid w:val="006024B0"/>
    <w:rsid w:val="006025DE"/>
    <w:rsid w:val="00602F4D"/>
    <w:rsid w:val="00603C83"/>
    <w:rsid w:val="00604B3D"/>
    <w:rsid w:val="0060612F"/>
    <w:rsid w:val="00606A98"/>
    <w:rsid w:val="006077B6"/>
    <w:rsid w:val="006100E9"/>
    <w:rsid w:val="0061178D"/>
    <w:rsid w:val="00612F0C"/>
    <w:rsid w:val="006149CE"/>
    <w:rsid w:val="00614DC3"/>
    <w:rsid w:val="006153EB"/>
    <w:rsid w:val="006157AF"/>
    <w:rsid w:val="00617E2E"/>
    <w:rsid w:val="00617E60"/>
    <w:rsid w:val="00620683"/>
    <w:rsid w:val="00622381"/>
    <w:rsid w:val="00622F2C"/>
    <w:rsid w:val="00623FE8"/>
    <w:rsid w:val="00624AA3"/>
    <w:rsid w:val="00624D62"/>
    <w:rsid w:val="00626167"/>
    <w:rsid w:val="006272EC"/>
    <w:rsid w:val="00627EF0"/>
    <w:rsid w:val="006301FE"/>
    <w:rsid w:val="00630C51"/>
    <w:rsid w:val="00631706"/>
    <w:rsid w:val="00632CE6"/>
    <w:rsid w:val="006347D8"/>
    <w:rsid w:val="00636E03"/>
    <w:rsid w:val="0064123A"/>
    <w:rsid w:val="006429C8"/>
    <w:rsid w:val="00643528"/>
    <w:rsid w:val="00647B3E"/>
    <w:rsid w:val="00650CF1"/>
    <w:rsid w:val="00651068"/>
    <w:rsid w:val="00651BDC"/>
    <w:rsid w:val="006536B0"/>
    <w:rsid w:val="00654030"/>
    <w:rsid w:val="00655D5A"/>
    <w:rsid w:val="00656920"/>
    <w:rsid w:val="00656B28"/>
    <w:rsid w:val="006570A5"/>
    <w:rsid w:val="006570DB"/>
    <w:rsid w:val="0066013F"/>
    <w:rsid w:val="00660701"/>
    <w:rsid w:val="00663335"/>
    <w:rsid w:val="00663643"/>
    <w:rsid w:val="00666D73"/>
    <w:rsid w:val="00667AD2"/>
    <w:rsid w:val="0067211D"/>
    <w:rsid w:val="00674B14"/>
    <w:rsid w:val="006771E7"/>
    <w:rsid w:val="00677F76"/>
    <w:rsid w:val="00680A2B"/>
    <w:rsid w:val="006813E8"/>
    <w:rsid w:val="0068192E"/>
    <w:rsid w:val="00682D7B"/>
    <w:rsid w:val="006831D4"/>
    <w:rsid w:val="00684B47"/>
    <w:rsid w:val="00684F6A"/>
    <w:rsid w:val="00685A32"/>
    <w:rsid w:val="00685E10"/>
    <w:rsid w:val="00686383"/>
    <w:rsid w:val="00687818"/>
    <w:rsid w:val="00687A47"/>
    <w:rsid w:val="006901A8"/>
    <w:rsid w:val="0069029A"/>
    <w:rsid w:val="006906A3"/>
    <w:rsid w:val="00690B05"/>
    <w:rsid w:val="0069155B"/>
    <w:rsid w:val="006920E2"/>
    <w:rsid w:val="00692275"/>
    <w:rsid w:val="006922B5"/>
    <w:rsid w:val="00692919"/>
    <w:rsid w:val="00695209"/>
    <w:rsid w:val="0069533E"/>
    <w:rsid w:val="00695B0B"/>
    <w:rsid w:val="00696741"/>
    <w:rsid w:val="00696D4E"/>
    <w:rsid w:val="0069755E"/>
    <w:rsid w:val="006A02FA"/>
    <w:rsid w:val="006A0BAB"/>
    <w:rsid w:val="006A10BF"/>
    <w:rsid w:val="006A2BD6"/>
    <w:rsid w:val="006A3F2E"/>
    <w:rsid w:val="006A45A1"/>
    <w:rsid w:val="006A55B4"/>
    <w:rsid w:val="006A67C1"/>
    <w:rsid w:val="006A72CB"/>
    <w:rsid w:val="006A7F9C"/>
    <w:rsid w:val="006B090D"/>
    <w:rsid w:val="006B185F"/>
    <w:rsid w:val="006B1E39"/>
    <w:rsid w:val="006B21AE"/>
    <w:rsid w:val="006B24FC"/>
    <w:rsid w:val="006B29FC"/>
    <w:rsid w:val="006B3323"/>
    <w:rsid w:val="006B3335"/>
    <w:rsid w:val="006B4584"/>
    <w:rsid w:val="006B4AAA"/>
    <w:rsid w:val="006B55B4"/>
    <w:rsid w:val="006C18B5"/>
    <w:rsid w:val="006C421D"/>
    <w:rsid w:val="006C56EC"/>
    <w:rsid w:val="006C582A"/>
    <w:rsid w:val="006C7461"/>
    <w:rsid w:val="006C7884"/>
    <w:rsid w:val="006D03CA"/>
    <w:rsid w:val="006D07B9"/>
    <w:rsid w:val="006D1F6D"/>
    <w:rsid w:val="006D23A8"/>
    <w:rsid w:val="006D24D4"/>
    <w:rsid w:val="006D436E"/>
    <w:rsid w:val="006D5781"/>
    <w:rsid w:val="006D7170"/>
    <w:rsid w:val="006E0F5F"/>
    <w:rsid w:val="006E1B8D"/>
    <w:rsid w:val="006E2ACE"/>
    <w:rsid w:val="006E2DDC"/>
    <w:rsid w:val="006E344E"/>
    <w:rsid w:val="006E4089"/>
    <w:rsid w:val="006E48E6"/>
    <w:rsid w:val="006F0205"/>
    <w:rsid w:val="006F08BE"/>
    <w:rsid w:val="006F10BA"/>
    <w:rsid w:val="006F1DB3"/>
    <w:rsid w:val="006F3969"/>
    <w:rsid w:val="006F5971"/>
    <w:rsid w:val="006F71D4"/>
    <w:rsid w:val="007013EC"/>
    <w:rsid w:val="00702243"/>
    <w:rsid w:val="00702517"/>
    <w:rsid w:val="007025E5"/>
    <w:rsid w:val="00702904"/>
    <w:rsid w:val="00702F1A"/>
    <w:rsid w:val="00703CED"/>
    <w:rsid w:val="00704B23"/>
    <w:rsid w:val="00706BAE"/>
    <w:rsid w:val="00706EBA"/>
    <w:rsid w:val="00710131"/>
    <w:rsid w:val="00711587"/>
    <w:rsid w:val="0071275A"/>
    <w:rsid w:val="007131CA"/>
    <w:rsid w:val="00713270"/>
    <w:rsid w:val="007134A6"/>
    <w:rsid w:val="007207C8"/>
    <w:rsid w:val="00721880"/>
    <w:rsid w:val="00722A68"/>
    <w:rsid w:val="00723C78"/>
    <w:rsid w:val="007242B6"/>
    <w:rsid w:val="007247C3"/>
    <w:rsid w:val="00724BA4"/>
    <w:rsid w:val="00724F83"/>
    <w:rsid w:val="00724FFA"/>
    <w:rsid w:val="00725390"/>
    <w:rsid w:val="0072541B"/>
    <w:rsid w:val="00726C24"/>
    <w:rsid w:val="0072711B"/>
    <w:rsid w:val="007305F5"/>
    <w:rsid w:val="0073146E"/>
    <w:rsid w:val="007343AD"/>
    <w:rsid w:val="00735125"/>
    <w:rsid w:val="007357C3"/>
    <w:rsid w:val="007357F8"/>
    <w:rsid w:val="0073609F"/>
    <w:rsid w:val="007365DA"/>
    <w:rsid w:val="007418AC"/>
    <w:rsid w:val="007424EA"/>
    <w:rsid w:val="007458C7"/>
    <w:rsid w:val="00745C4C"/>
    <w:rsid w:val="00746A89"/>
    <w:rsid w:val="00747EFB"/>
    <w:rsid w:val="0075241E"/>
    <w:rsid w:val="007533DA"/>
    <w:rsid w:val="007539F7"/>
    <w:rsid w:val="00755AC7"/>
    <w:rsid w:val="00756251"/>
    <w:rsid w:val="007604AF"/>
    <w:rsid w:val="00760B3B"/>
    <w:rsid w:val="007614BB"/>
    <w:rsid w:val="0076300E"/>
    <w:rsid w:val="0076318B"/>
    <w:rsid w:val="00763711"/>
    <w:rsid w:val="00764EC3"/>
    <w:rsid w:val="00765B65"/>
    <w:rsid w:val="00765E5E"/>
    <w:rsid w:val="00766438"/>
    <w:rsid w:val="00766849"/>
    <w:rsid w:val="00771223"/>
    <w:rsid w:val="00771519"/>
    <w:rsid w:val="00772CE9"/>
    <w:rsid w:val="007737C9"/>
    <w:rsid w:val="00774511"/>
    <w:rsid w:val="007746C8"/>
    <w:rsid w:val="00775937"/>
    <w:rsid w:val="00780BDC"/>
    <w:rsid w:val="00780D58"/>
    <w:rsid w:val="00784250"/>
    <w:rsid w:val="00784F9D"/>
    <w:rsid w:val="007856DB"/>
    <w:rsid w:val="00786097"/>
    <w:rsid w:val="007868B4"/>
    <w:rsid w:val="00786CDB"/>
    <w:rsid w:val="00787FA4"/>
    <w:rsid w:val="0079032F"/>
    <w:rsid w:val="00790C9F"/>
    <w:rsid w:val="00792095"/>
    <w:rsid w:val="0079224B"/>
    <w:rsid w:val="007925E2"/>
    <w:rsid w:val="007929D0"/>
    <w:rsid w:val="007929FF"/>
    <w:rsid w:val="0079315D"/>
    <w:rsid w:val="007934B0"/>
    <w:rsid w:val="007934F2"/>
    <w:rsid w:val="0079420B"/>
    <w:rsid w:val="00794E3E"/>
    <w:rsid w:val="00794F3D"/>
    <w:rsid w:val="0079661A"/>
    <w:rsid w:val="00797293"/>
    <w:rsid w:val="007A04AC"/>
    <w:rsid w:val="007A0731"/>
    <w:rsid w:val="007A2E45"/>
    <w:rsid w:val="007A5329"/>
    <w:rsid w:val="007A5BE6"/>
    <w:rsid w:val="007A7286"/>
    <w:rsid w:val="007A75A8"/>
    <w:rsid w:val="007B002D"/>
    <w:rsid w:val="007B08C6"/>
    <w:rsid w:val="007B2770"/>
    <w:rsid w:val="007B3691"/>
    <w:rsid w:val="007B64BD"/>
    <w:rsid w:val="007B6639"/>
    <w:rsid w:val="007C020E"/>
    <w:rsid w:val="007C0F41"/>
    <w:rsid w:val="007C105B"/>
    <w:rsid w:val="007C2277"/>
    <w:rsid w:val="007C2C09"/>
    <w:rsid w:val="007C3103"/>
    <w:rsid w:val="007C3AD0"/>
    <w:rsid w:val="007C414B"/>
    <w:rsid w:val="007C46E1"/>
    <w:rsid w:val="007C470B"/>
    <w:rsid w:val="007C54B2"/>
    <w:rsid w:val="007C591B"/>
    <w:rsid w:val="007C61CB"/>
    <w:rsid w:val="007C66FB"/>
    <w:rsid w:val="007C67C7"/>
    <w:rsid w:val="007C6B49"/>
    <w:rsid w:val="007C6EF7"/>
    <w:rsid w:val="007C6F2C"/>
    <w:rsid w:val="007C780F"/>
    <w:rsid w:val="007C7DE8"/>
    <w:rsid w:val="007D05C4"/>
    <w:rsid w:val="007D0CA4"/>
    <w:rsid w:val="007D1BD0"/>
    <w:rsid w:val="007D342D"/>
    <w:rsid w:val="007D35E0"/>
    <w:rsid w:val="007D4EF5"/>
    <w:rsid w:val="007D62DD"/>
    <w:rsid w:val="007D663D"/>
    <w:rsid w:val="007D7259"/>
    <w:rsid w:val="007E012D"/>
    <w:rsid w:val="007E2BCB"/>
    <w:rsid w:val="007E45FB"/>
    <w:rsid w:val="007E4B24"/>
    <w:rsid w:val="007E50B6"/>
    <w:rsid w:val="007E591E"/>
    <w:rsid w:val="007E5F4C"/>
    <w:rsid w:val="007E6C9F"/>
    <w:rsid w:val="007E6D92"/>
    <w:rsid w:val="007E719A"/>
    <w:rsid w:val="007F183C"/>
    <w:rsid w:val="007F1E19"/>
    <w:rsid w:val="007F223C"/>
    <w:rsid w:val="007F22CE"/>
    <w:rsid w:val="007F2587"/>
    <w:rsid w:val="007F348D"/>
    <w:rsid w:val="007F452D"/>
    <w:rsid w:val="007F4EE9"/>
    <w:rsid w:val="007F5040"/>
    <w:rsid w:val="007F7137"/>
    <w:rsid w:val="007F7B1E"/>
    <w:rsid w:val="007F7DDE"/>
    <w:rsid w:val="00800CB1"/>
    <w:rsid w:val="00803C26"/>
    <w:rsid w:val="00803C64"/>
    <w:rsid w:val="0080531E"/>
    <w:rsid w:val="008053BA"/>
    <w:rsid w:val="00806366"/>
    <w:rsid w:val="00806531"/>
    <w:rsid w:val="0080663D"/>
    <w:rsid w:val="00806D9C"/>
    <w:rsid w:val="00807DB5"/>
    <w:rsid w:val="00810A54"/>
    <w:rsid w:val="008111F3"/>
    <w:rsid w:val="00811AFF"/>
    <w:rsid w:val="008128ED"/>
    <w:rsid w:val="00812A46"/>
    <w:rsid w:val="008147AD"/>
    <w:rsid w:val="00815168"/>
    <w:rsid w:val="00815E2F"/>
    <w:rsid w:val="00817514"/>
    <w:rsid w:val="008178F6"/>
    <w:rsid w:val="008203B7"/>
    <w:rsid w:val="00820E90"/>
    <w:rsid w:val="00821B59"/>
    <w:rsid w:val="008220EB"/>
    <w:rsid w:val="008242F8"/>
    <w:rsid w:val="008257BB"/>
    <w:rsid w:val="00825F1C"/>
    <w:rsid w:val="00826168"/>
    <w:rsid w:val="008262A5"/>
    <w:rsid w:val="0083012D"/>
    <w:rsid w:val="008302BE"/>
    <w:rsid w:val="0083060C"/>
    <w:rsid w:val="0083142D"/>
    <w:rsid w:val="00831F03"/>
    <w:rsid w:val="0083301A"/>
    <w:rsid w:val="008334AB"/>
    <w:rsid w:val="0083389D"/>
    <w:rsid w:val="00840D49"/>
    <w:rsid w:val="00840F10"/>
    <w:rsid w:val="00841683"/>
    <w:rsid w:val="008417FE"/>
    <w:rsid w:val="00841939"/>
    <w:rsid w:val="00842FE7"/>
    <w:rsid w:val="008438DF"/>
    <w:rsid w:val="0084417E"/>
    <w:rsid w:val="008441FC"/>
    <w:rsid w:val="00845959"/>
    <w:rsid w:val="00845BCD"/>
    <w:rsid w:val="00846723"/>
    <w:rsid w:val="00847008"/>
    <w:rsid w:val="00847B55"/>
    <w:rsid w:val="00851E40"/>
    <w:rsid w:val="00852F66"/>
    <w:rsid w:val="008534DA"/>
    <w:rsid w:val="00853C29"/>
    <w:rsid w:val="00853ED2"/>
    <w:rsid w:val="00854355"/>
    <w:rsid w:val="0085462D"/>
    <w:rsid w:val="0085470F"/>
    <w:rsid w:val="008601C3"/>
    <w:rsid w:val="00860535"/>
    <w:rsid w:val="0086074A"/>
    <w:rsid w:val="00861459"/>
    <w:rsid w:val="0086243D"/>
    <w:rsid w:val="00862977"/>
    <w:rsid w:val="00862D24"/>
    <w:rsid w:val="00863B20"/>
    <w:rsid w:val="008652A6"/>
    <w:rsid w:val="0086531F"/>
    <w:rsid w:val="00865B0D"/>
    <w:rsid w:val="00865C99"/>
    <w:rsid w:val="0086655F"/>
    <w:rsid w:val="00866667"/>
    <w:rsid w:val="00872657"/>
    <w:rsid w:val="00873BA7"/>
    <w:rsid w:val="00876202"/>
    <w:rsid w:val="0087742B"/>
    <w:rsid w:val="0088108D"/>
    <w:rsid w:val="00883147"/>
    <w:rsid w:val="00884C94"/>
    <w:rsid w:val="008858A6"/>
    <w:rsid w:val="008879A6"/>
    <w:rsid w:val="00887EFE"/>
    <w:rsid w:val="008901FF"/>
    <w:rsid w:val="00893442"/>
    <w:rsid w:val="00893C13"/>
    <w:rsid w:val="0089448B"/>
    <w:rsid w:val="00894F56"/>
    <w:rsid w:val="00896DE0"/>
    <w:rsid w:val="008A0544"/>
    <w:rsid w:val="008A15B2"/>
    <w:rsid w:val="008A1E47"/>
    <w:rsid w:val="008A30AD"/>
    <w:rsid w:val="008A327E"/>
    <w:rsid w:val="008A3D59"/>
    <w:rsid w:val="008A3EF8"/>
    <w:rsid w:val="008A41DA"/>
    <w:rsid w:val="008A55FB"/>
    <w:rsid w:val="008A5A8F"/>
    <w:rsid w:val="008A5D89"/>
    <w:rsid w:val="008A700F"/>
    <w:rsid w:val="008A746A"/>
    <w:rsid w:val="008A753C"/>
    <w:rsid w:val="008B21B8"/>
    <w:rsid w:val="008B23A6"/>
    <w:rsid w:val="008B417A"/>
    <w:rsid w:val="008B4DBE"/>
    <w:rsid w:val="008B71D8"/>
    <w:rsid w:val="008C017E"/>
    <w:rsid w:val="008C150F"/>
    <w:rsid w:val="008C2482"/>
    <w:rsid w:val="008C3F22"/>
    <w:rsid w:val="008C4436"/>
    <w:rsid w:val="008C48E4"/>
    <w:rsid w:val="008C52CF"/>
    <w:rsid w:val="008C5F9C"/>
    <w:rsid w:val="008C6312"/>
    <w:rsid w:val="008C7497"/>
    <w:rsid w:val="008C7F37"/>
    <w:rsid w:val="008D0013"/>
    <w:rsid w:val="008D0A5D"/>
    <w:rsid w:val="008D0C42"/>
    <w:rsid w:val="008D12E0"/>
    <w:rsid w:val="008D1D8F"/>
    <w:rsid w:val="008D2813"/>
    <w:rsid w:val="008D3EAE"/>
    <w:rsid w:val="008D4BA2"/>
    <w:rsid w:val="008D702F"/>
    <w:rsid w:val="008D79B8"/>
    <w:rsid w:val="008E02F9"/>
    <w:rsid w:val="008E2567"/>
    <w:rsid w:val="008E2869"/>
    <w:rsid w:val="008E2F68"/>
    <w:rsid w:val="008E3269"/>
    <w:rsid w:val="008E3DB3"/>
    <w:rsid w:val="008E41AD"/>
    <w:rsid w:val="008E6705"/>
    <w:rsid w:val="008E7169"/>
    <w:rsid w:val="008E750E"/>
    <w:rsid w:val="008F3414"/>
    <w:rsid w:val="008F34F8"/>
    <w:rsid w:val="008F58D8"/>
    <w:rsid w:val="008F7D66"/>
    <w:rsid w:val="00900EC9"/>
    <w:rsid w:val="00901A7B"/>
    <w:rsid w:val="009029B8"/>
    <w:rsid w:val="00902D98"/>
    <w:rsid w:val="009032B5"/>
    <w:rsid w:val="0090348E"/>
    <w:rsid w:val="0090395E"/>
    <w:rsid w:val="00905E42"/>
    <w:rsid w:val="0090660E"/>
    <w:rsid w:val="00906B2F"/>
    <w:rsid w:val="00906EB4"/>
    <w:rsid w:val="00910CDB"/>
    <w:rsid w:val="009114B6"/>
    <w:rsid w:val="0091256E"/>
    <w:rsid w:val="009143F0"/>
    <w:rsid w:val="009148EC"/>
    <w:rsid w:val="0091517A"/>
    <w:rsid w:val="00915B71"/>
    <w:rsid w:val="0091743B"/>
    <w:rsid w:val="0091755B"/>
    <w:rsid w:val="00921759"/>
    <w:rsid w:val="0092271B"/>
    <w:rsid w:val="00923BBA"/>
    <w:rsid w:val="00923BF6"/>
    <w:rsid w:val="00924234"/>
    <w:rsid w:val="00924D15"/>
    <w:rsid w:val="00924FB5"/>
    <w:rsid w:val="00925D40"/>
    <w:rsid w:val="009279BF"/>
    <w:rsid w:val="00927E7A"/>
    <w:rsid w:val="00930800"/>
    <w:rsid w:val="009321DC"/>
    <w:rsid w:val="0093416D"/>
    <w:rsid w:val="00935973"/>
    <w:rsid w:val="0093688A"/>
    <w:rsid w:val="00936ACD"/>
    <w:rsid w:val="00936BEE"/>
    <w:rsid w:val="0094032C"/>
    <w:rsid w:val="00940B49"/>
    <w:rsid w:val="00941D5A"/>
    <w:rsid w:val="009433E0"/>
    <w:rsid w:val="00943996"/>
    <w:rsid w:val="009443C0"/>
    <w:rsid w:val="00944C94"/>
    <w:rsid w:val="00945B08"/>
    <w:rsid w:val="00945F40"/>
    <w:rsid w:val="00945F94"/>
    <w:rsid w:val="00946255"/>
    <w:rsid w:val="00946484"/>
    <w:rsid w:val="00950492"/>
    <w:rsid w:val="00950EEE"/>
    <w:rsid w:val="009524A6"/>
    <w:rsid w:val="009528DB"/>
    <w:rsid w:val="00952A04"/>
    <w:rsid w:val="00953A42"/>
    <w:rsid w:val="00954954"/>
    <w:rsid w:val="00955EDE"/>
    <w:rsid w:val="00956147"/>
    <w:rsid w:val="00956C06"/>
    <w:rsid w:val="00956F9D"/>
    <w:rsid w:val="009570E5"/>
    <w:rsid w:val="00957E48"/>
    <w:rsid w:val="0096137D"/>
    <w:rsid w:val="00961B80"/>
    <w:rsid w:val="00962374"/>
    <w:rsid w:val="00962715"/>
    <w:rsid w:val="00962766"/>
    <w:rsid w:val="0096429D"/>
    <w:rsid w:val="00964545"/>
    <w:rsid w:val="0096470B"/>
    <w:rsid w:val="00964B2E"/>
    <w:rsid w:val="0096508C"/>
    <w:rsid w:val="009655FA"/>
    <w:rsid w:val="00965C13"/>
    <w:rsid w:val="00966704"/>
    <w:rsid w:val="0097120E"/>
    <w:rsid w:val="0097210D"/>
    <w:rsid w:val="00975595"/>
    <w:rsid w:val="00977F0E"/>
    <w:rsid w:val="0098087F"/>
    <w:rsid w:val="0098138A"/>
    <w:rsid w:val="00981567"/>
    <w:rsid w:val="00981CFD"/>
    <w:rsid w:val="00981F0D"/>
    <w:rsid w:val="0098267C"/>
    <w:rsid w:val="00982C54"/>
    <w:rsid w:val="00983C9C"/>
    <w:rsid w:val="0098435B"/>
    <w:rsid w:val="00986BA1"/>
    <w:rsid w:val="00990706"/>
    <w:rsid w:val="00990A5E"/>
    <w:rsid w:val="00991D44"/>
    <w:rsid w:val="009920F6"/>
    <w:rsid w:val="0099325E"/>
    <w:rsid w:val="009939DB"/>
    <w:rsid w:val="00993E6C"/>
    <w:rsid w:val="009940DB"/>
    <w:rsid w:val="009946C3"/>
    <w:rsid w:val="00994841"/>
    <w:rsid w:val="00994A9D"/>
    <w:rsid w:val="00994CFC"/>
    <w:rsid w:val="00995CC4"/>
    <w:rsid w:val="00996825"/>
    <w:rsid w:val="00996A60"/>
    <w:rsid w:val="00996F42"/>
    <w:rsid w:val="009976B2"/>
    <w:rsid w:val="00997A02"/>
    <w:rsid w:val="009A2CB6"/>
    <w:rsid w:val="009A3BB9"/>
    <w:rsid w:val="009A469F"/>
    <w:rsid w:val="009A53FE"/>
    <w:rsid w:val="009A68C3"/>
    <w:rsid w:val="009A6A1A"/>
    <w:rsid w:val="009A6DD2"/>
    <w:rsid w:val="009B2A98"/>
    <w:rsid w:val="009B47CB"/>
    <w:rsid w:val="009B4BCC"/>
    <w:rsid w:val="009B5896"/>
    <w:rsid w:val="009B5EE2"/>
    <w:rsid w:val="009B691F"/>
    <w:rsid w:val="009B6C23"/>
    <w:rsid w:val="009B6F4F"/>
    <w:rsid w:val="009B7554"/>
    <w:rsid w:val="009C1927"/>
    <w:rsid w:val="009C21FC"/>
    <w:rsid w:val="009C35C8"/>
    <w:rsid w:val="009C37EC"/>
    <w:rsid w:val="009C4B48"/>
    <w:rsid w:val="009C5082"/>
    <w:rsid w:val="009C5465"/>
    <w:rsid w:val="009C5977"/>
    <w:rsid w:val="009C59B5"/>
    <w:rsid w:val="009D31D9"/>
    <w:rsid w:val="009D459E"/>
    <w:rsid w:val="009D4A93"/>
    <w:rsid w:val="009D5DE3"/>
    <w:rsid w:val="009D5DF0"/>
    <w:rsid w:val="009D6777"/>
    <w:rsid w:val="009D6AA2"/>
    <w:rsid w:val="009D6EE6"/>
    <w:rsid w:val="009D7776"/>
    <w:rsid w:val="009E1696"/>
    <w:rsid w:val="009E193E"/>
    <w:rsid w:val="009E1FC5"/>
    <w:rsid w:val="009E28C2"/>
    <w:rsid w:val="009E57B6"/>
    <w:rsid w:val="009E67B0"/>
    <w:rsid w:val="009E6AB1"/>
    <w:rsid w:val="009E6AC7"/>
    <w:rsid w:val="009E6E59"/>
    <w:rsid w:val="009E78E2"/>
    <w:rsid w:val="009F006C"/>
    <w:rsid w:val="009F1A35"/>
    <w:rsid w:val="009F2C8C"/>
    <w:rsid w:val="009F2CCB"/>
    <w:rsid w:val="009F3C94"/>
    <w:rsid w:val="009F4FE5"/>
    <w:rsid w:val="009F60A5"/>
    <w:rsid w:val="009F71DE"/>
    <w:rsid w:val="009F7B02"/>
    <w:rsid w:val="00A01F98"/>
    <w:rsid w:val="00A0323B"/>
    <w:rsid w:val="00A03A62"/>
    <w:rsid w:val="00A04CBE"/>
    <w:rsid w:val="00A04E44"/>
    <w:rsid w:val="00A076C9"/>
    <w:rsid w:val="00A10DA8"/>
    <w:rsid w:val="00A12760"/>
    <w:rsid w:val="00A1361D"/>
    <w:rsid w:val="00A14C1F"/>
    <w:rsid w:val="00A14DF8"/>
    <w:rsid w:val="00A16CF6"/>
    <w:rsid w:val="00A2081F"/>
    <w:rsid w:val="00A21889"/>
    <w:rsid w:val="00A224A3"/>
    <w:rsid w:val="00A238AA"/>
    <w:rsid w:val="00A23FD8"/>
    <w:rsid w:val="00A24B3B"/>
    <w:rsid w:val="00A27947"/>
    <w:rsid w:val="00A27D25"/>
    <w:rsid w:val="00A27F9F"/>
    <w:rsid w:val="00A311E9"/>
    <w:rsid w:val="00A31B12"/>
    <w:rsid w:val="00A32834"/>
    <w:rsid w:val="00A3505E"/>
    <w:rsid w:val="00A35D00"/>
    <w:rsid w:val="00A36199"/>
    <w:rsid w:val="00A36DEE"/>
    <w:rsid w:val="00A3779C"/>
    <w:rsid w:val="00A37E85"/>
    <w:rsid w:val="00A41C65"/>
    <w:rsid w:val="00A42A1D"/>
    <w:rsid w:val="00A443BE"/>
    <w:rsid w:val="00A452E7"/>
    <w:rsid w:val="00A45EA7"/>
    <w:rsid w:val="00A4633B"/>
    <w:rsid w:val="00A4729D"/>
    <w:rsid w:val="00A47E4F"/>
    <w:rsid w:val="00A47EB5"/>
    <w:rsid w:val="00A47F41"/>
    <w:rsid w:val="00A5111E"/>
    <w:rsid w:val="00A51C0C"/>
    <w:rsid w:val="00A52065"/>
    <w:rsid w:val="00A539A0"/>
    <w:rsid w:val="00A53B22"/>
    <w:rsid w:val="00A55E2F"/>
    <w:rsid w:val="00A56EB8"/>
    <w:rsid w:val="00A57E5A"/>
    <w:rsid w:val="00A605A6"/>
    <w:rsid w:val="00A608A9"/>
    <w:rsid w:val="00A61223"/>
    <w:rsid w:val="00A61576"/>
    <w:rsid w:val="00A615B1"/>
    <w:rsid w:val="00A61B07"/>
    <w:rsid w:val="00A6214C"/>
    <w:rsid w:val="00A625C2"/>
    <w:rsid w:val="00A62C9F"/>
    <w:rsid w:val="00A63176"/>
    <w:rsid w:val="00A640ED"/>
    <w:rsid w:val="00A65370"/>
    <w:rsid w:val="00A66E4D"/>
    <w:rsid w:val="00A672EB"/>
    <w:rsid w:val="00A7019D"/>
    <w:rsid w:val="00A70B26"/>
    <w:rsid w:val="00A71142"/>
    <w:rsid w:val="00A723A5"/>
    <w:rsid w:val="00A73C65"/>
    <w:rsid w:val="00A7585B"/>
    <w:rsid w:val="00A75F31"/>
    <w:rsid w:val="00A80801"/>
    <w:rsid w:val="00A820C4"/>
    <w:rsid w:val="00A8224E"/>
    <w:rsid w:val="00A82BDF"/>
    <w:rsid w:val="00A85606"/>
    <w:rsid w:val="00A85912"/>
    <w:rsid w:val="00A8625E"/>
    <w:rsid w:val="00A86679"/>
    <w:rsid w:val="00A86AE2"/>
    <w:rsid w:val="00A86D77"/>
    <w:rsid w:val="00A8734D"/>
    <w:rsid w:val="00A87634"/>
    <w:rsid w:val="00A87DFC"/>
    <w:rsid w:val="00A87E2C"/>
    <w:rsid w:val="00A905BC"/>
    <w:rsid w:val="00A90D37"/>
    <w:rsid w:val="00A92F6C"/>
    <w:rsid w:val="00A94B16"/>
    <w:rsid w:val="00A95C46"/>
    <w:rsid w:val="00A95F2E"/>
    <w:rsid w:val="00AA0168"/>
    <w:rsid w:val="00AA0EB2"/>
    <w:rsid w:val="00AA1283"/>
    <w:rsid w:val="00AA3419"/>
    <w:rsid w:val="00AA41F3"/>
    <w:rsid w:val="00AA46CC"/>
    <w:rsid w:val="00AA57D5"/>
    <w:rsid w:val="00AB1A41"/>
    <w:rsid w:val="00AB1D40"/>
    <w:rsid w:val="00AB51F2"/>
    <w:rsid w:val="00AB563F"/>
    <w:rsid w:val="00AB5E65"/>
    <w:rsid w:val="00AB606D"/>
    <w:rsid w:val="00AB654A"/>
    <w:rsid w:val="00AB660D"/>
    <w:rsid w:val="00AB6DB0"/>
    <w:rsid w:val="00AB72F4"/>
    <w:rsid w:val="00AC01AC"/>
    <w:rsid w:val="00AC0AF9"/>
    <w:rsid w:val="00AC0B69"/>
    <w:rsid w:val="00AC0E14"/>
    <w:rsid w:val="00AC436C"/>
    <w:rsid w:val="00AC6A40"/>
    <w:rsid w:val="00AC7EB8"/>
    <w:rsid w:val="00AD0974"/>
    <w:rsid w:val="00AD0AD1"/>
    <w:rsid w:val="00AD0DEE"/>
    <w:rsid w:val="00AD1327"/>
    <w:rsid w:val="00AD1837"/>
    <w:rsid w:val="00AD2653"/>
    <w:rsid w:val="00AD323C"/>
    <w:rsid w:val="00AD3755"/>
    <w:rsid w:val="00AD3ABE"/>
    <w:rsid w:val="00AD451D"/>
    <w:rsid w:val="00AD6424"/>
    <w:rsid w:val="00AD67E2"/>
    <w:rsid w:val="00AD69BE"/>
    <w:rsid w:val="00AD75E0"/>
    <w:rsid w:val="00AD7AD3"/>
    <w:rsid w:val="00AE036E"/>
    <w:rsid w:val="00AE0640"/>
    <w:rsid w:val="00AE1D4E"/>
    <w:rsid w:val="00AE24D3"/>
    <w:rsid w:val="00AE260A"/>
    <w:rsid w:val="00AE28D7"/>
    <w:rsid w:val="00AE2E67"/>
    <w:rsid w:val="00AE3314"/>
    <w:rsid w:val="00AE4719"/>
    <w:rsid w:val="00AE48B9"/>
    <w:rsid w:val="00AE59F3"/>
    <w:rsid w:val="00AE6705"/>
    <w:rsid w:val="00AE6F88"/>
    <w:rsid w:val="00AF059C"/>
    <w:rsid w:val="00AF41D4"/>
    <w:rsid w:val="00AF4A72"/>
    <w:rsid w:val="00AF4E1A"/>
    <w:rsid w:val="00AF5192"/>
    <w:rsid w:val="00B00D3B"/>
    <w:rsid w:val="00B0127E"/>
    <w:rsid w:val="00B01518"/>
    <w:rsid w:val="00B01A60"/>
    <w:rsid w:val="00B01F55"/>
    <w:rsid w:val="00B01FD8"/>
    <w:rsid w:val="00B02AF6"/>
    <w:rsid w:val="00B0430E"/>
    <w:rsid w:val="00B049A7"/>
    <w:rsid w:val="00B04CA7"/>
    <w:rsid w:val="00B05409"/>
    <w:rsid w:val="00B078C4"/>
    <w:rsid w:val="00B07A8C"/>
    <w:rsid w:val="00B11089"/>
    <w:rsid w:val="00B12069"/>
    <w:rsid w:val="00B127EE"/>
    <w:rsid w:val="00B15990"/>
    <w:rsid w:val="00B15DCE"/>
    <w:rsid w:val="00B16AD1"/>
    <w:rsid w:val="00B16D17"/>
    <w:rsid w:val="00B1728C"/>
    <w:rsid w:val="00B17A4C"/>
    <w:rsid w:val="00B17F5F"/>
    <w:rsid w:val="00B21D53"/>
    <w:rsid w:val="00B22D8B"/>
    <w:rsid w:val="00B232CA"/>
    <w:rsid w:val="00B2396A"/>
    <w:rsid w:val="00B2498E"/>
    <w:rsid w:val="00B261D8"/>
    <w:rsid w:val="00B27039"/>
    <w:rsid w:val="00B30DF3"/>
    <w:rsid w:val="00B325EE"/>
    <w:rsid w:val="00B329A0"/>
    <w:rsid w:val="00B32C82"/>
    <w:rsid w:val="00B32CBE"/>
    <w:rsid w:val="00B32E81"/>
    <w:rsid w:val="00B33FC5"/>
    <w:rsid w:val="00B34106"/>
    <w:rsid w:val="00B343F7"/>
    <w:rsid w:val="00B352B6"/>
    <w:rsid w:val="00B35DFF"/>
    <w:rsid w:val="00B3734C"/>
    <w:rsid w:val="00B42AC4"/>
    <w:rsid w:val="00B43CFB"/>
    <w:rsid w:val="00B451DD"/>
    <w:rsid w:val="00B45350"/>
    <w:rsid w:val="00B455E0"/>
    <w:rsid w:val="00B45D0D"/>
    <w:rsid w:val="00B47C2A"/>
    <w:rsid w:val="00B504AF"/>
    <w:rsid w:val="00B505C1"/>
    <w:rsid w:val="00B50A32"/>
    <w:rsid w:val="00B5188D"/>
    <w:rsid w:val="00B522D1"/>
    <w:rsid w:val="00B52EF8"/>
    <w:rsid w:val="00B53C84"/>
    <w:rsid w:val="00B564A9"/>
    <w:rsid w:val="00B56560"/>
    <w:rsid w:val="00B56A10"/>
    <w:rsid w:val="00B56AE2"/>
    <w:rsid w:val="00B60BBB"/>
    <w:rsid w:val="00B60DCC"/>
    <w:rsid w:val="00B61033"/>
    <w:rsid w:val="00B64625"/>
    <w:rsid w:val="00B66385"/>
    <w:rsid w:val="00B67577"/>
    <w:rsid w:val="00B71675"/>
    <w:rsid w:val="00B7288C"/>
    <w:rsid w:val="00B731EE"/>
    <w:rsid w:val="00B74183"/>
    <w:rsid w:val="00B74577"/>
    <w:rsid w:val="00B7463E"/>
    <w:rsid w:val="00B766DE"/>
    <w:rsid w:val="00B77722"/>
    <w:rsid w:val="00B82BEB"/>
    <w:rsid w:val="00B83A75"/>
    <w:rsid w:val="00B844DF"/>
    <w:rsid w:val="00B84FE0"/>
    <w:rsid w:val="00B85419"/>
    <w:rsid w:val="00B85450"/>
    <w:rsid w:val="00B85DDB"/>
    <w:rsid w:val="00B86808"/>
    <w:rsid w:val="00B921C5"/>
    <w:rsid w:val="00B93429"/>
    <w:rsid w:val="00B93962"/>
    <w:rsid w:val="00B94C23"/>
    <w:rsid w:val="00B9634E"/>
    <w:rsid w:val="00B96CF9"/>
    <w:rsid w:val="00B976B5"/>
    <w:rsid w:val="00B97EE5"/>
    <w:rsid w:val="00BA0097"/>
    <w:rsid w:val="00BA022D"/>
    <w:rsid w:val="00BA15D4"/>
    <w:rsid w:val="00BA1A1F"/>
    <w:rsid w:val="00BA1B4C"/>
    <w:rsid w:val="00BA1BCC"/>
    <w:rsid w:val="00BA2940"/>
    <w:rsid w:val="00BA3192"/>
    <w:rsid w:val="00BA3394"/>
    <w:rsid w:val="00BA6F6A"/>
    <w:rsid w:val="00BA78A0"/>
    <w:rsid w:val="00BB063C"/>
    <w:rsid w:val="00BB0717"/>
    <w:rsid w:val="00BB0C8D"/>
    <w:rsid w:val="00BB0D51"/>
    <w:rsid w:val="00BB27D5"/>
    <w:rsid w:val="00BB4074"/>
    <w:rsid w:val="00BB4AAB"/>
    <w:rsid w:val="00BB6ED0"/>
    <w:rsid w:val="00BB7074"/>
    <w:rsid w:val="00BB7723"/>
    <w:rsid w:val="00BB7D6B"/>
    <w:rsid w:val="00BB7FA6"/>
    <w:rsid w:val="00BC0571"/>
    <w:rsid w:val="00BC0995"/>
    <w:rsid w:val="00BC10CD"/>
    <w:rsid w:val="00BC1DD4"/>
    <w:rsid w:val="00BC3512"/>
    <w:rsid w:val="00BC36BF"/>
    <w:rsid w:val="00BC3A1B"/>
    <w:rsid w:val="00BC3E0E"/>
    <w:rsid w:val="00BC4504"/>
    <w:rsid w:val="00BC5E3E"/>
    <w:rsid w:val="00BD0EFF"/>
    <w:rsid w:val="00BD108A"/>
    <w:rsid w:val="00BD14A8"/>
    <w:rsid w:val="00BD1B5C"/>
    <w:rsid w:val="00BD2AA4"/>
    <w:rsid w:val="00BD41E9"/>
    <w:rsid w:val="00BD572D"/>
    <w:rsid w:val="00BD5C25"/>
    <w:rsid w:val="00BD5E4A"/>
    <w:rsid w:val="00BD6638"/>
    <w:rsid w:val="00BD68DD"/>
    <w:rsid w:val="00BE17BD"/>
    <w:rsid w:val="00BE19D1"/>
    <w:rsid w:val="00BE4223"/>
    <w:rsid w:val="00BE4225"/>
    <w:rsid w:val="00BE4C05"/>
    <w:rsid w:val="00BE4DB1"/>
    <w:rsid w:val="00BE4E3B"/>
    <w:rsid w:val="00BE510D"/>
    <w:rsid w:val="00BE5453"/>
    <w:rsid w:val="00BE5722"/>
    <w:rsid w:val="00BE6E47"/>
    <w:rsid w:val="00BE757F"/>
    <w:rsid w:val="00BF0A44"/>
    <w:rsid w:val="00BF0BD1"/>
    <w:rsid w:val="00BF0E37"/>
    <w:rsid w:val="00BF0F2A"/>
    <w:rsid w:val="00BF2BCB"/>
    <w:rsid w:val="00BF36A8"/>
    <w:rsid w:val="00BF3C72"/>
    <w:rsid w:val="00BF4963"/>
    <w:rsid w:val="00BF4C5C"/>
    <w:rsid w:val="00BF5386"/>
    <w:rsid w:val="00BF6AFF"/>
    <w:rsid w:val="00BF6CCE"/>
    <w:rsid w:val="00BF7D1E"/>
    <w:rsid w:val="00C00A01"/>
    <w:rsid w:val="00C00B1D"/>
    <w:rsid w:val="00C012C5"/>
    <w:rsid w:val="00C02C5F"/>
    <w:rsid w:val="00C031BD"/>
    <w:rsid w:val="00C04866"/>
    <w:rsid w:val="00C04D54"/>
    <w:rsid w:val="00C04E25"/>
    <w:rsid w:val="00C0582E"/>
    <w:rsid w:val="00C05D68"/>
    <w:rsid w:val="00C06050"/>
    <w:rsid w:val="00C0783E"/>
    <w:rsid w:val="00C11FDA"/>
    <w:rsid w:val="00C13EB4"/>
    <w:rsid w:val="00C142A2"/>
    <w:rsid w:val="00C14DDB"/>
    <w:rsid w:val="00C158AD"/>
    <w:rsid w:val="00C15E4D"/>
    <w:rsid w:val="00C169B3"/>
    <w:rsid w:val="00C16B21"/>
    <w:rsid w:val="00C16B2D"/>
    <w:rsid w:val="00C2199E"/>
    <w:rsid w:val="00C219AA"/>
    <w:rsid w:val="00C22A8C"/>
    <w:rsid w:val="00C24D36"/>
    <w:rsid w:val="00C25AED"/>
    <w:rsid w:val="00C26C55"/>
    <w:rsid w:val="00C26D51"/>
    <w:rsid w:val="00C27401"/>
    <w:rsid w:val="00C274CB"/>
    <w:rsid w:val="00C30897"/>
    <w:rsid w:val="00C3093B"/>
    <w:rsid w:val="00C32A85"/>
    <w:rsid w:val="00C32B3A"/>
    <w:rsid w:val="00C33D07"/>
    <w:rsid w:val="00C33EC0"/>
    <w:rsid w:val="00C33F46"/>
    <w:rsid w:val="00C341B9"/>
    <w:rsid w:val="00C3535E"/>
    <w:rsid w:val="00C370C6"/>
    <w:rsid w:val="00C40789"/>
    <w:rsid w:val="00C41B00"/>
    <w:rsid w:val="00C41B25"/>
    <w:rsid w:val="00C425FB"/>
    <w:rsid w:val="00C42F63"/>
    <w:rsid w:val="00C433A5"/>
    <w:rsid w:val="00C4547F"/>
    <w:rsid w:val="00C461AD"/>
    <w:rsid w:val="00C46D1B"/>
    <w:rsid w:val="00C47FDC"/>
    <w:rsid w:val="00C50580"/>
    <w:rsid w:val="00C5086B"/>
    <w:rsid w:val="00C51889"/>
    <w:rsid w:val="00C51DAC"/>
    <w:rsid w:val="00C52A24"/>
    <w:rsid w:val="00C52E66"/>
    <w:rsid w:val="00C52FBC"/>
    <w:rsid w:val="00C5325C"/>
    <w:rsid w:val="00C53705"/>
    <w:rsid w:val="00C54B4D"/>
    <w:rsid w:val="00C55085"/>
    <w:rsid w:val="00C56AB7"/>
    <w:rsid w:val="00C60596"/>
    <w:rsid w:val="00C61EFD"/>
    <w:rsid w:val="00C65E09"/>
    <w:rsid w:val="00C667A4"/>
    <w:rsid w:val="00C72397"/>
    <w:rsid w:val="00C732AC"/>
    <w:rsid w:val="00C76971"/>
    <w:rsid w:val="00C80166"/>
    <w:rsid w:val="00C80504"/>
    <w:rsid w:val="00C8091E"/>
    <w:rsid w:val="00C8384F"/>
    <w:rsid w:val="00C83F5F"/>
    <w:rsid w:val="00C87033"/>
    <w:rsid w:val="00C9351A"/>
    <w:rsid w:val="00C93C16"/>
    <w:rsid w:val="00C9527D"/>
    <w:rsid w:val="00C96E84"/>
    <w:rsid w:val="00C97C3C"/>
    <w:rsid w:val="00CA1A37"/>
    <w:rsid w:val="00CA3068"/>
    <w:rsid w:val="00CA34B2"/>
    <w:rsid w:val="00CA5B46"/>
    <w:rsid w:val="00CA6904"/>
    <w:rsid w:val="00CA6F3F"/>
    <w:rsid w:val="00CB05CF"/>
    <w:rsid w:val="00CB2B3E"/>
    <w:rsid w:val="00CB2C2D"/>
    <w:rsid w:val="00CB5231"/>
    <w:rsid w:val="00CB624C"/>
    <w:rsid w:val="00CB69A4"/>
    <w:rsid w:val="00CC088B"/>
    <w:rsid w:val="00CC1082"/>
    <w:rsid w:val="00CC3629"/>
    <w:rsid w:val="00CC4300"/>
    <w:rsid w:val="00CC4854"/>
    <w:rsid w:val="00CC535E"/>
    <w:rsid w:val="00CC5B72"/>
    <w:rsid w:val="00CC7493"/>
    <w:rsid w:val="00CD2E6E"/>
    <w:rsid w:val="00CD40C8"/>
    <w:rsid w:val="00CE02C5"/>
    <w:rsid w:val="00CE08F2"/>
    <w:rsid w:val="00CE0927"/>
    <w:rsid w:val="00CE154D"/>
    <w:rsid w:val="00CE1852"/>
    <w:rsid w:val="00CE1B9C"/>
    <w:rsid w:val="00CE1F5B"/>
    <w:rsid w:val="00CE2294"/>
    <w:rsid w:val="00CE2ADD"/>
    <w:rsid w:val="00CE350F"/>
    <w:rsid w:val="00CE3BF7"/>
    <w:rsid w:val="00CE3D47"/>
    <w:rsid w:val="00CE4A95"/>
    <w:rsid w:val="00CE4B4C"/>
    <w:rsid w:val="00CE56A3"/>
    <w:rsid w:val="00CE68D4"/>
    <w:rsid w:val="00CE68EC"/>
    <w:rsid w:val="00CE6D0E"/>
    <w:rsid w:val="00CE73FD"/>
    <w:rsid w:val="00CE776C"/>
    <w:rsid w:val="00CF06DB"/>
    <w:rsid w:val="00CF087F"/>
    <w:rsid w:val="00CF08DF"/>
    <w:rsid w:val="00CF1AE1"/>
    <w:rsid w:val="00CF36FE"/>
    <w:rsid w:val="00CF5964"/>
    <w:rsid w:val="00CF7477"/>
    <w:rsid w:val="00CF759A"/>
    <w:rsid w:val="00CF7C23"/>
    <w:rsid w:val="00D0185F"/>
    <w:rsid w:val="00D01FA9"/>
    <w:rsid w:val="00D02A89"/>
    <w:rsid w:val="00D0337D"/>
    <w:rsid w:val="00D03EEB"/>
    <w:rsid w:val="00D03FFD"/>
    <w:rsid w:val="00D06108"/>
    <w:rsid w:val="00D06168"/>
    <w:rsid w:val="00D105DC"/>
    <w:rsid w:val="00D109F1"/>
    <w:rsid w:val="00D11019"/>
    <w:rsid w:val="00D1384C"/>
    <w:rsid w:val="00D1503B"/>
    <w:rsid w:val="00D1661A"/>
    <w:rsid w:val="00D168F5"/>
    <w:rsid w:val="00D214E0"/>
    <w:rsid w:val="00D22AAE"/>
    <w:rsid w:val="00D22ABC"/>
    <w:rsid w:val="00D22E80"/>
    <w:rsid w:val="00D231D0"/>
    <w:rsid w:val="00D236A9"/>
    <w:rsid w:val="00D249F6"/>
    <w:rsid w:val="00D2612A"/>
    <w:rsid w:val="00D2632C"/>
    <w:rsid w:val="00D26C51"/>
    <w:rsid w:val="00D310DB"/>
    <w:rsid w:val="00D31580"/>
    <w:rsid w:val="00D34093"/>
    <w:rsid w:val="00D342E0"/>
    <w:rsid w:val="00D34A92"/>
    <w:rsid w:val="00D3601D"/>
    <w:rsid w:val="00D36910"/>
    <w:rsid w:val="00D376FA"/>
    <w:rsid w:val="00D40CA1"/>
    <w:rsid w:val="00D4252D"/>
    <w:rsid w:val="00D42AD4"/>
    <w:rsid w:val="00D42D5B"/>
    <w:rsid w:val="00D42F84"/>
    <w:rsid w:val="00D43349"/>
    <w:rsid w:val="00D43591"/>
    <w:rsid w:val="00D44C64"/>
    <w:rsid w:val="00D45F2C"/>
    <w:rsid w:val="00D463D5"/>
    <w:rsid w:val="00D53F6F"/>
    <w:rsid w:val="00D54428"/>
    <w:rsid w:val="00D5482E"/>
    <w:rsid w:val="00D55261"/>
    <w:rsid w:val="00D55CF0"/>
    <w:rsid w:val="00D56328"/>
    <w:rsid w:val="00D576B3"/>
    <w:rsid w:val="00D600F2"/>
    <w:rsid w:val="00D6066C"/>
    <w:rsid w:val="00D60B02"/>
    <w:rsid w:val="00D615C6"/>
    <w:rsid w:val="00D617C9"/>
    <w:rsid w:val="00D6223C"/>
    <w:rsid w:val="00D6287E"/>
    <w:rsid w:val="00D62A54"/>
    <w:rsid w:val="00D62B3E"/>
    <w:rsid w:val="00D65815"/>
    <w:rsid w:val="00D65933"/>
    <w:rsid w:val="00D66299"/>
    <w:rsid w:val="00D665C4"/>
    <w:rsid w:val="00D66A38"/>
    <w:rsid w:val="00D67A5F"/>
    <w:rsid w:val="00D71995"/>
    <w:rsid w:val="00D72940"/>
    <w:rsid w:val="00D73A11"/>
    <w:rsid w:val="00D749A2"/>
    <w:rsid w:val="00D74BAE"/>
    <w:rsid w:val="00D7503F"/>
    <w:rsid w:val="00D75D20"/>
    <w:rsid w:val="00D764D3"/>
    <w:rsid w:val="00D823F2"/>
    <w:rsid w:val="00D84A09"/>
    <w:rsid w:val="00D852A1"/>
    <w:rsid w:val="00D8607C"/>
    <w:rsid w:val="00D867A2"/>
    <w:rsid w:val="00D86887"/>
    <w:rsid w:val="00D909AC"/>
    <w:rsid w:val="00D92447"/>
    <w:rsid w:val="00D93B77"/>
    <w:rsid w:val="00D94940"/>
    <w:rsid w:val="00D952BC"/>
    <w:rsid w:val="00D9590E"/>
    <w:rsid w:val="00D96E05"/>
    <w:rsid w:val="00D97F8A"/>
    <w:rsid w:val="00DA01FA"/>
    <w:rsid w:val="00DA415E"/>
    <w:rsid w:val="00DA4898"/>
    <w:rsid w:val="00DA4B91"/>
    <w:rsid w:val="00DB0684"/>
    <w:rsid w:val="00DB08C6"/>
    <w:rsid w:val="00DB10EC"/>
    <w:rsid w:val="00DB18DB"/>
    <w:rsid w:val="00DB1EF1"/>
    <w:rsid w:val="00DB2AE6"/>
    <w:rsid w:val="00DB2E2A"/>
    <w:rsid w:val="00DB332C"/>
    <w:rsid w:val="00DB37DA"/>
    <w:rsid w:val="00DB4058"/>
    <w:rsid w:val="00DB4125"/>
    <w:rsid w:val="00DB428F"/>
    <w:rsid w:val="00DB5080"/>
    <w:rsid w:val="00DB5BF6"/>
    <w:rsid w:val="00DB6775"/>
    <w:rsid w:val="00DB7932"/>
    <w:rsid w:val="00DC24AC"/>
    <w:rsid w:val="00DC2ACD"/>
    <w:rsid w:val="00DC36D3"/>
    <w:rsid w:val="00DC52C6"/>
    <w:rsid w:val="00DC6C5D"/>
    <w:rsid w:val="00DC71F8"/>
    <w:rsid w:val="00DC7732"/>
    <w:rsid w:val="00DC7EDA"/>
    <w:rsid w:val="00DD533B"/>
    <w:rsid w:val="00DD6BF3"/>
    <w:rsid w:val="00DD713D"/>
    <w:rsid w:val="00DE1911"/>
    <w:rsid w:val="00DE1DA4"/>
    <w:rsid w:val="00DE56C8"/>
    <w:rsid w:val="00DE5D9E"/>
    <w:rsid w:val="00DE673D"/>
    <w:rsid w:val="00DE6CC5"/>
    <w:rsid w:val="00DF0619"/>
    <w:rsid w:val="00DF1366"/>
    <w:rsid w:val="00DF5CE4"/>
    <w:rsid w:val="00DF5FFA"/>
    <w:rsid w:val="00DF670C"/>
    <w:rsid w:val="00DF6A7C"/>
    <w:rsid w:val="00DF74A6"/>
    <w:rsid w:val="00E00954"/>
    <w:rsid w:val="00E02AEF"/>
    <w:rsid w:val="00E04279"/>
    <w:rsid w:val="00E054E8"/>
    <w:rsid w:val="00E0677C"/>
    <w:rsid w:val="00E07F59"/>
    <w:rsid w:val="00E10B6B"/>
    <w:rsid w:val="00E1230D"/>
    <w:rsid w:val="00E125F8"/>
    <w:rsid w:val="00E13AF5"/>
    <w:rsid w:val="00E143EC"/>
    <w:rsid w:val="00E15A5F"/>
    <w:rsid w:val="00E168A1"/>
    <w:rsid w:val="00E174A6"/>
    <w:rsid w:val="00E17D6D"/>
    <w:rsid w:val="00E20FF0"/>
    <w:rsid w:val="00E21AD2"/>
    <w:rsid w:val="00E22A48"/>
    <w:rsid w:val="00E24F06"/>
    <w:rsid w:val="00E25AC2"/>
    <w:rsid w:val="00E272D9"/>
    <w:rsid w:val="00E273A9"/>
    <w:rsid w:val="00E31465"/>
    <w:rsid w:val="00E32ADC"/>
    <w:rsid w:val="00E348F7"/>
    <w:rsid w:val="00E3735B"/>
    <w:rsid w:val="00E37465"/>
    <w:rsid w:val="00E37C9F"/>
    <w:rsid w:val="00E40435"/>
    <w:rsid w:val="00E407B3"/>
    <w:rsid w:val="00E41372"/>
    <w:rsid w:val="00E41F15"/>
    <w:rsid w:val="00E428D1"/>
    <w:rsid w:val="00E42BF9"/>
    <w:rsid w:val="00E42C70"/>
    <w:rsid w:val="00E461B2"/>
    <w:rsid w:val="00E46F0F"/>
    <w:rsid w:val="00E4719A"/>
    <w:rsid w:val="00E47316"/>
    <w:rsid w:val="00E4799A"/>
    <w:rsid w:val="00E47EC8"/>
    <w:rsid w:val="00E52DC9"/>
    <w:rsid w:val="00E5317E"/>
    <w:rsid w:val="00E54FFC"/>
    <w:rsid w:val="00E55C0B"/>
    <w:rsid w:val="00E560C2"/>
    <w:rsid w:val="00E56364"/>
    <w:rsid w:val="00E5674E"/>
    <w:rsid w:val="00E57265"/>
    <w:rsid w:val="00E573AE"/>
    <w:rsid w:val="00E57728"/>
    <w:rsid w:val="00E6074F"/>
    <w:rsid w:val="00E6237F"/>
    <w:rsid w:val="00E624B1"/>
    <w:rsid w:val="00E62983"/>
    <w:rsid w:val="00E63AC3"/>
    <w:rsid w:val="00E64538"/>
    <w:rsid w:val="00E64DB2"/>
    <w:rsid w:val="00E657DD"/>
    <w:rsid w:val="00E66516"/>
    <w:rsid w:val="00E66A01"/>
    <w:rsid w:val="00E66A68"/>
    <w:rsid w:val="00E678FC"/>
    <w:rsid w:val="00E70394"/>
    <w:rsid w:val="00E70ABA"/>
    <w:rsid w:val="00E72B70"/>
    <w:rsid w:val="00E74075"/>
    <w:rsid w:val="00E751ED"/>
    <w:rsid w:val="00E7732A"/>
    <w:rsid w:val="00E8009E"/>
    <w:rsid w:val="00E80788"/>
    <w:rsid w:val="00E8175E"/>
    <w:rsid w:val="00E8198B"/>
    <w:rsid w:val="00E82612"/>
    <w:rsid w:val="00E83EB3"/>
    <w:rsid w:val="00E83FF8"/>
    <w:rsid w:val="00E85E07"/>
    <w:rsid w:val="00E86311"/>
    <w:rsid w:val="00E87AE4"/>
    <w:rsid w:val="00E87B43"/>
    <w:rsid w:val="00E87B90"/>
    <w:rsid w:val="00E9118C"/>
    <w:rsid w:val="00E9146B"/>
    <w:rsid w:val="00E9222E"/>
    <w:rsid w:val="00E925F5"/>
    <w:rsid w:val="00E92C56"/>
    <w:rsid w:val="00E9347E"/>
    <w:rsid w:val="00E94076"/>
    <w:rsid w:val="00E94558"/>
    <w:rsid w:val="00E9541A"/>
    <w:rsid w:val="00E96255"/>
    <w:rsid w:val="00E97EFF"/>
    <w:rsid w:val="00EA0A8F"/>
    <w:rsid w:val="00EA2400"/>
    <w:rsid w:val="00EA34E9"/>
    <w:rsid w:val="00EA457C"/>
    <w:rsid w:val="00EA4B31"/>
    <w:rsid w:val="00EA547A"/>
    <w:rsid w:val="00EA57F4"/>
    <w:rsid w:val="00EA5BA0"/>
    <w:rsid w:val="00EA6F89"/>
    <w:rsid w:val="00EB061E"/>
    <w:rsid w:val="00EB0E2E"/>
    <w:rsid w:val="00EB143E"/>
    <w:rsid w:val="00EB21EC"/>
    <w:rsid w:val="00EB27BD"/>
    <w:rsid w:val="00EB2C94"/>
    <w:rsid w:val="00EB35D0"/>
    <w:rsid w:val="00EB4CC0"/>
    <w:rsid w:val="00EB77B8"/>
    <w:rsid w:val="00EB798E"/>
    <w:rsid w:val="00EC0AD4"/>
    <w:rsid w:val="00EC3AB5"/>
    <w:rsid w:val="00EC4674"/>
    <w:rsid w:val="00EC65E5"/>
    <w:rsid w:val="00EC6799"/>
    <w:rsid w:val="00EC7401"/>
    <w:rsid w:val="00EC7490"/>
    <w:rsid w:val="00EC7549"/>
    <w:rsid w:val="00EC78EB"/>
    <w:rsid w:val="00EC7B21"/>
    <w:rsid w:val="00EC7BF5"/>
    <w:rsid w:val="00ED18B2"/>
    <w:rsid w:val="00ED277A"/>
    <w:rsid w:val="00ED3EF4"/>
    <w:rsid w:val="00ED4FA0"/>
    <w:rsid w:val="00ED56ED"/>
    <w:rsid w:val="00ED6321"/>
    <w:rsid w:val="00EE0C7D"/>
    <w:rsid w:val="00EE332F"/>
    <w:rsid w:val="00EE419F"/>
    <w:rsid w:val="00EE51D2"/>
    <w:rsid w:val="00EE678F"/>
    <w:rsid w:val="00EE72DA"/>
    <w:rsid w:val="00EF185E"/>
    <w:rsid w:val="00EF198A"/>
    <w:rsid w:val="00EF1A3F"/>
    <w:rsid w:val="00EF1DE0"/>
    <w:rsid w:val="00EF20DD"/>
    <w:rsid w:val="00EF3E43"/>
    <w:rsid w:val="00EF45D8"/>
    <w:rsid w:val="00EF4B41"/>
    <w:rsid w:val="00EF6227"/>
    <w:rsid w:val="00EF679E"/>
    <w:rsid w:val="00EF68AC"/>
    <w:rsid w:val="00EF6BA0"/>
    <w:rsid w:val="00EF6C46"/>
    <w:rsid w:val="00EF7C7B"/>
    <w:rsid w:val="00F02FBD"/>
    <w:rsid w:val="00F034F7"/>
    <w:rsid w:val="00F039C5"/>
    <w:rsid w:val="00F04EB2"/>
    <w:rsid w:val="00F06F1C"/>
    <w:rsid w:val="00F071B3"/>
    <w:rsid w:val="00F07B4D"/>
    <w:rsid w:val="00F07C5B"/>
    <w:rsid w:val="00F105B6"/>
    <w:rsid w:val="00F106B1"/>
    <w:rsid w:val="00F1259D"/>
    <w:rsid w:val="00F12E4A"/>
    <w:rsid w:val="00F13C60"/>
    <w:rsid w:val="00F140D8"/>
    <w:rsid w:val="00F15053"/>
    <w:rsid w:val="00F16C2E"/>
    <w:rsid w:val="00F16E88"/>
    <w:rsid w:val="00F21BAB"/>
    <w:rsid w:val="00F21D18"/>
    <w:rsid w:val="00F24CB0"/>
    <w:rsid w:val="00F254D7"/>
    <w:rsid w:val="00F2637B"/>
    <w:rsid w:val="00F30C20"/>
    <w:rsid w:val="00F3618F"/>
    <w:rsid w:val="00F36300"/>
    <w:rsid w:val="00F363FB"/>
    <w:rsid w:val="00F36A65"/>
    <w:rsid w:val="00F36CEA"/>
    <w:rsid w:val="00F37C8F"/>
    <w:rsid w:val="00F37F66"/>
    <w:rsid w:val="00F37FCA"/>
    <w:rsid w:val="00F402C2"/>
    <w:rsid w:val="00F40DBF"/>
    <w:rsid w:val="00F41392"/>
    <w:rsid w:val="00F41777"/>
    <w:rsid w:val="00F41F0C"/>
    <w:rsid w:val="00F421D6"/>
    <w:rsid w:val="00F456E3"/>
    <w:rsid w:val="00F45E98"/>
    <w:rsid w:val="00F45FD5"/>
    <w:rsid w:val="00F4755B"/>
    <w:rsid w:val="00F47E9B"/>
    <w:rsid w:val="00F50E7A"/>
    <w:rsid w:val="00F51798"/>
    <w:rsid w:val="00F51A24"/>
    <w:rsid w:val="00F52867"/>
    <w:rsid w:val="00F52BF7"/>
    <w:rsid w:val="00F539AE"/>
    <w:rsid w:val="00F53A43"/>
    <w:rsid w:val="00F53A5A"/>
    <w:rsid w:val="00F54172"/>
    <w:rsid w:val="00F566F2"/>
    <w:rsid w:val="00F569E9"/>
    <w:rsid w:val="00F603DC"/>
    <w:rsid w:val="00F61748"/>
    <w:rsid w:val="00F62013"/>
    <w:rsid w:val="00F64C86"/>
    <w:rsid w:val="00F650CD"/>
    <w:rsid w:val="00F66800"/>
    <w:rsid w:val="00F67C4E"/>
    <w:rsid w:val="00F700F1"/>
    <w:rsid w:val="00F70831"/>
    <w:rsid w:val="00F71279"/>
    <w:rsid w:val="00F7199E"/>
    <w:rsid w:val="00F746A1"/>
    <w:rsid w:val="00F749D8"/>
    <w:rsid w:val="00F74A16"/>
    <w:rsid w:val="00F74A84"/>
    <w:rsid w:val="00F74D86"/>
    <w:rsid w:val="00F75322"/>
    <w:rsid w:val="00F7611F"/>
    <w:rsid w:val="00F7621B"/>
    <w:rsid w:val="00F76F05"/>
    <w:rsid w:val="00F805DA"/>
    <w:rsid w:val="00F80666"/>
    <w:rsid w:val="00F83CBE"/>
    <w:rsid w:val="00F84666"/>
    <w:rsid w:val="00F85FB9"/>
    <w:rsid w:val="00F86BAB"/>
    <w:rsid w:val="00F86BCE"/>
    <w:rsid w:val="00F86D95"/>
    <w:rsid w:val="00F86EF2"/>
    <w:rsid w:val="00F87A12"/>
    <w:rsid w:val="00F90312"/>
    <w:rsid w:val="00F916FD"/>
    <w:rsid w:val="00F91CEA"/>
    <w:rsid w:val="00F92CC3"/>
    <w:rsid w:val="00F93DCB"/>
    <w:rsid w:val="00F95159"/>
    <w:rsid w:val="00F97E94"/>
    <w:rsid w:val="00F97F3D"/>
    <w:rsid w:val="00FA35DB"/>
    <w:rsid w:val="00FA376B"/>
    <w:rsid w:val="00FA3CC4"/>
    <w:rsid w:val="00FA42A5"/>
    <w:rsid w:val="00FA43E2"/>
    <w:rsid w:val="00FA4AD9"/>
    <w:rsid w:val="00FA4BD6"/>
    <w:rsid w:val="00FA61ED"/>
    <w:rsid w:val="00FA6637"/>
    <w:rsid w:val="00FA6779"/>
    <w:rsid w:val="00FB0474"/>
    <w:rsid w:val="00FB328C"/>
    <w:rsid w:val="00FB4804"/>
    <w:rsid w:val="00FB4AB4"/>
    <w:rsid w:val="00FB7046"/>
    <w:rsid w:val="00FC0234"/>
    <w:rsid w:val="00FC1048"/>
    <w:rsid w:val="00FC11EA"/>
    <w:rsid w:val="00FC12CF"/>
    <w:rsid w:val="00FC1D3A"/>
    <w:rsid w:val="00FC2485"/>
    <w:rsid w:val="00FC2507"/>
    <w:rsid w:val="00FC57EE"/>
    <w:rsid w:val="00FC5D5C"/>
    <w:rsid w:val="00FC6514"/>
    <w:rsid w:val="00FC6940"/>
    <w:rsid w:val="00FC7303"/>
    <w:rsid w:val="00FC74D8"/>
    <w:rsid w:val="00FC7766"/>
    <w:rsid w:val="00FD1608"/>
    <w:rsid w:val="00FD5855"/>
    <w:rsid w:val="00FD7933"/>
    <w:rsid w:val="00FD7F22"/>
    <w:rsid w:val="00FE06C8"/>
    <w:rsid w:val="00FE0C0A"/>
    <w:rsid w:val="00FE159E"/>
    <w:rsid w:val="00FE18EF"/>
    <w:rsid w:val="00FE24D7"/>
    <w:rsid w:val="00FE32D8"/>
    <w:rsid w:val="00FE448E"/>
    <w:rsid w:val="00FE4871"/>
    <w:rsid w:val="00FE5415"/>
    <w:rsid w:val="00FE74F3"/>
    <w:rsid w:val="00FE788D"/>
    <w:rsid w:val="00FF030A"/>
    <w:rsid w:val="00FF0856"/>
    <w:rsid w:val="00FF0A6F"/>
    <w:rsid w:val="00FF304D"/>
    <w:rsid w:val="00FF30C5"/>
    <w:rsid w:val="00FF3243"/>
    <w:rsid w:val="00FF45B0"/>
    <w:rsid w:val="00FF4995"/>
    <w:rsid w:val="00FF52E2"/>
    <w:rsid w:val="00FF5FD4"/>
    <w:rsid w:val="00FF5FD8"/>
    <w:rsid w:val="00FF60E2"/>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898"/>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C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C5D"/>
    <w:rPr>
      <w:sz w:val="20"/>
      <w:szCs w:val="20"/>
    </w:rPr>
  </w:style>
  <w:style w:type="character" w:styleId="FootnoteReference">
    <w:name w:val="footnote reference"/>
    <w:basedOn w:val="DefaultParagraphFont"/>
    <w:uiPriority w:val="99"/>
    <w:semiHidden/>
    <w:unhideWhenUsed/>
    <w:rsid w:val="00DC6C5D"/>
    <w:rPr>
      <w:vertAlign w:val="superscript"/>
    </w:rPr>
  </w:style>
  <w:style w:type="character" w:styleId="Hyperlink">
    <w:name w:val="Hyperlink"/>
    <w:basedOn w:val="DefaultParagraphFont"/>
    <w:uiPriority w:val="99"/>
    <w:unhideWhenUsed/>
    <w:rsid w:val="0057354A"/>
    <w:rPr>
      <w:color w:val="0000FF" w:themeColor="hyperlink"/>
      <w:u w:val="single"/>
    </w:rPr>
  </w:style>
  <w:style w:type="character" w:styleId="CommentReference">
    <w:name w:val="annotation reference"/>
    <w:basedOn w:val="DefaultParagraphFont"/>
    <w:uiPriority w:val="99"/>
    <w:semiHidden/>
    <w:unhideWhenUsed/>
    <w:rsid w:val="00617E2E"/>
    <w:rPr>
      <w:sz w:val="16"/>
      <w:szCs w:val="16"/>
    </w:rPr>
  </w:style>
  <w:style w:type="paragraph" w:styleId="CommentText">
    <w:name w:val="annotation text"/>
    <w:basedOn w:val="Normal"/>
    <w:link w:val="CommentTextChar"/>
    <w:uiPriority w:val="99"/>
    <w:semiHidden/>
    <w:unhideWhenUsed/>
    <w:rsid w:val="00617E2E"/>
    <w:pPr>
      <w:spacing w:line="240" w:lineRule="auto"/>
    </w:pPr>
    <w:rPr>
      <w:sz w:val="20"/>
      <w:szCs w:val="20"/>
    </w:rPr>
  </w:style>
  <w:style w:type="character" w:customStyle="1" w:styleId="CommentTextChar">
    <w:name w:val="Comment Text Char"/>
    <w:basedOn w:val="DefaultParagraphFont"/>
    <w:link w:val="CommentText"/>
    <w:uiPriority w:val="99"/>
    <w:semiHidden/>
    <w:rsid w:val="00617E2E"/>
    <w:rPr>
      <w:sz w:val="20"/>
      <w:szCs w:val="20"/>
    </w:rPr>
  </w:style>
  <w:style w:type="paragraph" w:styleId="CommentSubject">
    <w:name w:val="annotation subject"/>
    <w:basedOn w:val="CommentText"/>
    <w:next w:val="CommentText"/>
    <w:link w:val="CommentSubjectChar"/>
    <w:uiPriority w:val="99"/>
    <w:semiHidden/>
    <w:unhideWhenUsed/>
    <w:rsid w:val="00617E2E"/>
    <w:rPr>
      <w:b/>
      <w:bCs/>
    </w:rPr>
  </w:style>
  <w:style w:type="character" w:customStyle="1" w:styleId="CommentSubjectChar">
    <w:name w:val="Comment Subject Char"/>
    <w:basedOn w:val="CommentTextChar"/>
    <w:link w:val="CommentSubject"/>
    <w:uiPriority w:val="99"/>
    <w:semiHidden/>
    <w:rsid w:val="00617E2E"/>
    <w:rPr>
      <w:b/>
      <w:bCs/>
      <w:sz w:val="20"/>
      <w:szCs w:val="20"/>
    </w:rPr>
  </w:style>
  <w:style w:type="paragraph" w:styleId="BalloonText">
    <w:name w:val="Balloon Text"/>
    <w:basedOn w:val="Normal"/>
    <w:link w:val="BalloonTextChar"/>
    <w:uiPriority w:val="99"/>
    <w:semiHidden/>
    <w:unhideWhenUsed/>
    <w:rsid w:val="0061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E2E"/>
    <w:rPr>
      <w:rFonts w:ascii="Tahoma" w:hAnsi="Tahoma" w:cs="Tahoma"/>
      <w:sz w:val="16"/>
      <w:szCs w:val="16"/>
    </w:rPr>
  </w:style>
  <w:style w:type="paragraph" w:styleId="Header">
    <w:name w:val="header"/>
    <w:basedOn w:val="Normal"/>
    <w:link w:val="HeaderChar"/>
    <w:uiPriority w:val="99"/>
    <w:unhideWhenUsed/>
    <w:rsid w:val="00A7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1"/>
  </w:style>
  <w:style w:type="paragraph" w:styleId="Footer">
    <w:name w:val="footer"/>
    <w:basedOn w:val="Normal"/>
    <w:link w:val="FooterChar"/>
    <w:uiPriority w:val="99"/>
    <w:unhideWhenUsed/>
    <w:rsid w:val="00A7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1"/>
  </w:style>
  <w:style w:type="character" w:styleId="FollowedHyperlink">
    <w:name w:val="FollowedHyperlink"/>
    <w:basedOn w:val="DefaultParagraphFont"/>
    <w:uiPriority w:val="99"/>
    <w:semiHidden/>
    <w:unhideWhenUsed/>
    <w:rsid w:val="006A45A1"/>
    <w:rPr>
      <w:color w:val="800080" w:themeColor="followedHyperlink"/>
      <w:u w:val="single"/>
    </w:rPr>
  </w:style>
  <w:style w:type="paragraph" w:styleId="EndnoteText">
    <w:name w:val="endnote text"/>
    <w:basedOn w:val="Normal"/>
    <w:link w:val="EndnoteTextChar"/>
    <w:uiPriority w:val="99"/>
    <w:semiHidden/>
    <w:unhideWhenUsed/>
    <w:rsid w:val="001B17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178C"/>
    <w:rPr>
      <w:sz w:val="20"/>
      <w:szCs w:val="20"/>
    </w:rPr>
  </w:style>
  <w:style w:type="character" w:styleId="EndnoteReference">
    <w:name w:val="endnote reference"/>
    <w:basedOn w:val="DefaultParagraphFont"/>
    <w:uiPriority w:val="99"/>
    <w:semiHidden/>
    <w:unhideWhenUsed/>
    <w:rsid w:val="001B178C"/>
    <w:rPr>
      <w:vertAlign w:val="superscript"/>
    </w:rPr>
  </w:style>
  <w:style w:type="paragraph" w:styleId="Revision">
    <w:name w:val="Revision"/>
    <w:hidden/>
    <w:uiPriority w:val="99"/>
    <w:semiHidden/>
    <w:rsid w:val="00530B4E"/>
    <w:pPr>
      <w:spacing w:after="0" w:line="240" w:lineRule="auto"/>
    </w:pPr>
  </w:style>
  <w:style w:type="table" w:styleId="TableGrid">
    <w:name w:val="Table Grid"/>
    <w:basedOn w:val="TableNormal"/>
    <w:uiPriority w:val="59"/>
    <w:rsid w:val="00F7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898"/>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C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C5D"/>
    <w:rPr>
      <w:sz w:val="20"/>
      <w:szCs w:val="20"/>
    </w:rPr>
  </w:style>
  <w:style w:type="character" w:styleId="FootnoteReference">
    <w:name w:val="footnote reference"/>
    <w:basedOn w:val="DefaultParagraphFont"/>
    <w:uiPriority w:val="99"/>
    <w:semiHidden/>
    <w:unhideWhenUsed/>
    <w:rsid w:val="00DC6C5D"/>
    <w:rPr>
      <w:vertAlign w:val="superscript"/>
    </w:rPr>
  </w:style>
  <w:style w:type="character" w:styleId="Hyperlink">
    <w:name w:val="Hyperlink"/>
    <w:basedOn w:val="DefaultParagraphFont"/>
    <w:uiPriority w:val="99"/>
    <w:unhideWhenUsed/>
    <w:rsid w:val="0057354A"/>
    <w:rPr>
      <w:color w:val="0000FF" w:themeColor="hyperlink"/>
      <w:u w:val="single"/>
    </w:rPr>
  </w:style>
  <w:style w:type="character" w:styleId="CommentReference">
    <w:name w:val="annotation reference"/>
    <w:basedOn w:val="DefaultParagraphFont"/>
    <w:uiPriority w:val="99"/>
    <w:semiHidden/>
    <w:unhideWhenUsed/>
    <w:rsid w:val="00617E2E"/>
    <w:rPr>
      <w:sz w:val="16"/>
      <w:szCs w:val="16"/>
    </w:rPr>
  </w:style>
  <w:style w:type="paragraph" w:styleId="CommentText">
    <w:name w:val="annotation text"/>
    <w:basedOn w:val="Normal"/>
    <w:link w:val="CommentTextChar"/>
    <w:uiPriority w:val="99"/>
    <w:semiHidden/>
    <w:unhideWhenUsed/>
    <w:rsid w:val="00617E2E"/>
    <w:pPr>
      <w:spacing w:line="240" w:lineRule="auto"/>
    </w:pPr>
    <w:rPr>
      <w:sz w:val="20"/>
      <w:szCs w:val="20"/>
    </w:rPr>
  </w:style>
  <w:style w:type="character" w:customStyle="1" w:styleId="CommentTextChar">
    <w:name w:val="Comment Text Char"/>
    <w:basedOn w:val="DefaultParagraphFont"/>
    <w:link w:val="CommentText"/>
    <w:uiPriority w:val="99"/>
    <w:semiHidden/>
    <w:rsid w:val="00617E2E"/>
    <w:rPr>
      <w:sz w:val="20"/>
      <w:szCs w:val="20"/>
    </w:rPr>
  </w:style>
  <w:style w:type="paragraph" w:styleId="CommentSubject">
    <w:name w:val="annotation subject"/>
    <w:basedOn w:val="CommentText"/>
    <w:next w:val="CommentText"/>
    <w:link w:val="CommentSubjectChar"/>
    <w:uiPriority w:val="99"/>
    <w:semiHidden/>
    <w:unhideWhenUsed/>
    <w:rsid w:val="00617E2E"/>
    <w:rPr>
      <w:b/>
      <w:bCs/>
    </w:rPr>
  </w:style>
  <w:style w:type="character" w:customStyle="1" w:styleId="CommentSubjectChar">
    <w:name w:val="Comment Subject Char"/>
    <w:basedOn w:val="CommentTextChar"/>
    <w:link w:val="CommentSubject"/>
    <w:uiPriority w:val="99"/>
    <w:semiHidden/>
    <w:rsid w:val="00617E2E"/>
    <w:rPr>
      <w:b/>
      <w:bCs/>
      <w:sz w:val="20"/>
      <w:szCs w:val="20"/>
    </w:rPr>
  </w:style>
  <w:style w:type="paragraph" w:styleId="BalloonText">
    <w:name w:val="Balloon Text"/>
    <w:basedOn w:val="Normal"/>
    <w:link w:val="BalloonTextChar"/>
    <w:uiPriority w:val="99"/>
    <w:semiHidden/>
    <w:unhideWhenUsed/>
    <w:rsid w:val="0061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E2E"/>
    <w:rPr>
      <w:rFonts w:ascii="Tahoma" w:hAnsi="Tahoma" w:cs="Tahoma"/>
      <w:sz w:val="16"/>
      <w:szCs w:val="16"/>
    </w:rPr>
  </w:style>
  <w:style w:type="paragraph" w:styleId="Header">
    <w:name w:val="header"/>
    <w:basedOn w:val="Normal"/>
    <w:link w:val="HeaderChar"/>
    <w:uiPriority w:val="99"/>
    <w:unhideWhenUsed/>
    <w:rsid w:val="00A75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1"/>
  </w:style>
  <w:style w:type="paragraph" w:styleId="Footer">
    <w:name w:val="footer"/>
    <w:basedOn w:val="Normal"/>
    <w:link w:val="FooterChar"/>
    <w:uiPriority w:val="99"/>
    <w:unhideWhenUsed/>
    <w:rsid w:val="00A75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1"/>
  </w:style>
  <w:style w:type="character" w:styleId="FollowedHyperlink">
    <w:name w:val="FollowedHyperlink"/>
    <w:basedOn w:val="DefaultParagraphFont"/>
    <w:uiPriority w:val="99"/>
    <w:semiHidden/>
    <w:unhideWhenUsed/>
    <w:rsid w:val="006A45A1"/>
    <w:rPr>
      <w:color w:val="800080" w:themeColor="followedHyperlink"/>
      <w:u w:val="single"/>
    </w:rPr>
  </w:style>
  <w:style w:type="paragraph" w:styleId="EndnoteText">
    <w:name w:val="endnote text"/>
    <w:basedOn w:val="Normal"/>
    <w:link w:val="EndnoteTextChar"/>
    <w:uiPriority w:val="99"/>
    <w:semiHidden/>
    <w:unhideWhenUsed/>
    <w:rsid w:val="001B17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178C"/>
    <w:rPr>
      <w:sz w:val="20"/>
      <w:szCs w:val="20"/>
    </w:rPr>
  </w:style>
  <w:style w:type="character" w:styleId="EndnoteReference">
    <w:name w:val="endnote reference"/>
    <w:basedOn w:val="DefaultParagraphFont"/>
    <w:uiPriority w:val="99"/>
    <w:semiHidden/>
    <w:unhideWhenUsed/>
    <w:rsid w:val="001B178C"/>
    <w:rPr>
      <w:vertAlign w:val="superscript"/>
    </w:rPr>
  </w:style>
  <w:style w:type="paragraph" w:styleId="Revision">
    <w:name w:val="Revision"/>
    <w:hidden/>
    <w:uiPriority w:val="99"/>
    <w:semiHidden/>
    <w:rsid w:val="00530B4E"/>
    <w:pPr>
      <w:spacing w:after="0" w:line="240" w:lineRule="auto"/>
    </w:pPr>
  </w:style>
  <w:style w:type="table" w:styleId="TableGrid">
    <w:name w:val="Table Grid"/>
    <w:basedOn w:val="TableNormal"/>
    <w:uiPriority w:val="59"/>
    <w:rsid w:val="00F7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443">
      <w:bodyDiv w:val="1"/>
      <w:marLeft w:val="0"/>
      <w:marRight w:val="0"/>
      <w:marTop w:val="0"/>
      <w:marBottom w:val="0"/>
      <w:divBdr>
        <w:top w:val="none" w:sz="0" w:space="0" w:color="auto"/>
        <w:left w:val="none" w:sz="0" w:space="0" w:color="auto"/>
        <w:bottom w:val="none" w:sz="0" w:space="0" w:color="auto"/>
        <w:right w:val="none" w:sz="0" w:space="0" w:color="auto"/>
      </w:divBdr>
    </w:div>
    <w:div w:id="33697688">
      <w:bodyDiv w:val="1"/>
      <w:marLeft w:val="0"/>
      <w:marRight w:val="0"/>
      <w:marTop w:val="0"/>
      <w:marBottom w:val="0"/>
      <w:divBdr>
        <w:top w:val="none" w:sz="0" w:space="0" w:color="auto"/>
        <w:left w:val="none" w:sz="0" w:space="0" w:color="auto"/>
        <w:bottom w:val="none" w:sz="0" w:space="0" w:color="auto"/>
        <w:right w:val="none" w:sz="0" w:space="0" w:color="auto"/>
      </w:divBdr>
    </w:div>
    <w:div w:id="40597148">
      <w:bodyDiv w:val="1"/>
      <w:marLeft w:val="0"/>
      <w:marRight w:val="0"/>
      <w:marTop w:val="0"/>
      <w:marBottom w:val="0"/>
      <w:divBdr>
        <w:top w:val="none" w:sz="0" w:space="0" w:color="auto"/>
        <w:left w:val="none" w:sz="0" w:space="0" w:color="auto"/>
        <w:bottom w:val="none" w:sz="0" w:space="0" w:color="auto"/>
        <w:right w:val="none" w:sz="0" w:space="0" w:color="auto"/>
      </w:divBdr>
    </w:div>
    <w:div w:id="93524841">
      <w:bodyDiv w:val="1"/>
      <w:marLeft w:val="0"/>
      <w:marRight w:val="0"/>
      <w:marTop w:val="0"/>
      <w:marBottom w:val="0"/>
      <w:divBdr>
        <w:top w:val="none" w:sz="0" w:space="0" w:color="auto"/>
        <w:left w:val="none" w:sz="0" w:space="0" w:color="auto"/>
        <w:bottom w:val="none" w:sz="0" w:space="0" w:color="auto"/>
        <w:right w:val="none" w:sz="0" w:space="0" w:color="auto"/>
      </w:divBdr>
    </w:div>
    <w:div w:id="95103582">
      <w:bodyDiv w:val="1"/>
      <w:marLeft w:val="0"/>
      <w:marRight w:val="0"/>
      <w:marTop w:val="0"/>
      <w:marBottom w:val="0"/>
      <w:divBdr>
        <w:top w:val="none" w:sz="0" w:space="0" w:color="auto"/>
        <w:left w:val="none" w:sz="0" w:space="0" w:color="auto"/>
        <w:bottom w:val="none" w:sz="0" w:space="0" w:color="auto"/>
        <w:right w:val="none" w:sz="0" w:space="0" w:color="auto"/>
      </w:divBdr>
    </w:div>
    <w:div w:id="98109688">
      <w:bodyDiv w:val="1"/>
      <w:marLeft w:val="0"/>
      <w:marRight w:val="0"/>
      <w:marTop w:val="0"/>
      <w:marBottom w:val="0"/>
      <w:divBdr>
        <w:top w:val="none" w:sz="0" w:space="0" w:color="auto"/>
        <w:left w:val="none" w:sz="0" w:space="0" w:color="auto"/>
        <w:bottom w:val="none" w:sz="0" w:space="0" w:color="auto"/>
        <w:right w:val="none" w:sz="0" w:space="0" w:color="auto"/>
      </w:divBdr>
      <w:divsChild>
        <w:div w:id="92173692">
          <w:marLeft w:val="0"/>
          <w:marRight w:val="0"/>
          <w:marTop w:val="0"/>
          <w:marBottom w:val="0"/>
          <w:divBdr>
            <w:top w:val="none" w:sz="0" w:space="0" w:color="auto"/>
            <w:left w:val="none" w:sz="0" w:space="0" w:color="auto"/>
            <w:bottom w:val="none" w:sz="0" w:space="0" w:color="auto"/>
            <w:right w:val="none" w:sz="0" w:space="0" w:color="auto"/>
          </w:divBdr>
        </w:div>
        <w:div w:id="827868649">
          <w:marLeft w:val="0"/>
          <w:marRight w:val="0"/>
          <w:marTop w:val="0"/>
          <w:marBottom w:val="0"/>
          <w:divBdr>
            <w:top w:val="none" w:sz="0" w:space="0" w:color="auto"/>
            <w:left w:val="none" w:sz="0" w:space="0" w:color="auto"/>
            <w:bottom w:val="none" w:sz="0" w:space="0" w:color="auto"/>
            <w:right w:val="none" w:sz="0" w:space="0" w:color="auto"/>
          </w:divBdr>
        </w:div>
        <w:div w:id="1337921897">
          <w:marLeft w:val="0"/>
          <w:marRight w:val="0"/>
          <w:marTop w:val="0"/>
          <w:marBottom w:val="0"/>
          <w:divBdr>
            <w:top w:val="none" w:sz="0" w:space="0" w:color="auto"/>
            <w:left w:val="none" w:sz="0" w:space="0" w:color="auto"/>
            <w:bottom w:val="none" w:sz="0" w:space="0" w:color="auto"/>
            <w:right w:val="none" w:sz="0" w:space="0" w:color="auto"/>
          </w:divBdr>
        </w:div>
        <w:div w:id="1776438621">
          <w:marLeft w:val="0"/>
          <w:marRight w:val="0"/>
          <w:marTop w:val="0"/>
          <w:marBottom w:val="0"/>
          <w:divBdr>
            <w:top w:val="none" w:sz="0" w:space="0" w:color="auto"/>
            <w:left w:val="none" w:sz="0" w:space="0" w:color="auto"/>
            <w:bottom w:val="none" w:sz="0" w:space="0" w:color="auto"/>
            <w:right w:val="none" w:sz="0" w:space="0" w:color="auto"/>
          </w:divBdr>
        </w:div>
        <w:div w:id="2031879824">
          <w:marLeft w:val="0"/>
          <w:marRight w:val="0"/>
          <w:marTop w:val="0"/>
          <w:marBottom w:val="0"/>
          <w:divBdr>
            <w:top w:val="none" w:sz="0" w:space="0" w:color="auto"/>
            <w:left w:val="none" w:sz="0" w:space="0" w:color="auto"/>
            <w:bottom w:val="none" w:sz="0" w:space="0" w:color="auto"/>
            <w:right w:val="none" w:sz="0" w:space="0" w:color="auto"/>
          </w:divBdr>
        </w:div>
      </w:divsChild>
    </w:div>
    <w:div w:id="107893739">
      <w:bodyDiv w:val="1"/>
      <w:marLeft w:val="0"/>
      <w:marRight w:val="0"/>
      <w:marTop w:val="0"/>
      <w:marBottom w:val="0"/>
      <w:divBdr>
        <w:top w:val="none" w:sz="0" w:space="0" w:color="auto"/>
        <w:left w:val="none" w:sz="0" w:space="0" w:color="auto"/>
        <w:bottom w:val="none" w:sz="0" w:space="0" w:color="auto"/>
        <w:right w:val="none" w:sz="0" w:space="0" w:color="auto"/>
      </w:divBdr>
    </w:div>
    <w:div w:id="162280350">
      <w:bodyDiv w:val="1"/>
      <w:marLeft w:val="0"/>
      <w:marRight w:val="0"/>
      <w:marTop w:val="0"/>
      <w:marBottom w:val="0"/>
      <w:divBdr>
        <w:top w:val="none" w:sz="0" w:space="0" w:color="auto"/>
        <w:left w:val="none" w:sz="0" w:space="0" w:color="auto"/>
        <w:bottom w:val="none" w:sz="0" w:space="0" w:color="auto"/>
        <w:right w:val="none" w:sz="0" w:space="0" w:color="auto"/>
      </w:divBdr>
    </w:div>
    <w:div w:id="206533020">
      <w:bodyDiv w:val="1"/>
      <w:marLeft w:val="0"/>
      <w:marRight w:val="0"/>
      <w:marTop w:val="0"/>
      <w:marBottom w:val="0"/>
      <w:divBdr>
        <w:top w:val="none" w:sz="0" w:space="0" w:color="auto"/>
        <w:left w:val="none" w:sz="0" w:space="0" w:color="auto"/>
        <w:bottom w:val="none" w:sz="0" w:space="0" w:color="auto"/>
        <w:right w:val="none" w:sz="0" w:space="0" w:color="auto"/>
      </w:divBdr>
    </w:div>
    <w:div w:id="231544339">
      <w:bodyDiv w:val="1"/>
      <w:marLeft w:val="0"/>
      <w:marRight w:val="0"/>
      <w:marTop w:val="0"/>
      <w:marBottom w:val="0"/>
      <w:divBdr>
        <w:top w:val="none" w:sz="0" w:space="0" w:color="auto"/>
        <w:left w:val="none" w:sz="0" w:space="0" w:color="auto"/>
        <w:bottom w:val="none" w:sz="0" w:space="0" w:color="auto"/>
        <w:right w:val="none" w:sz="0" w:space="0" w:color="auto"/>
      </w:divBdr>
    </w:div>
    <w:div w:id="246575577">
      <w:bodyDiv w:val="1"/>
      <w:marLeft w:val="0"/>
      <w:marRight w:val="0"/>
      <w:marTop w:val="0"/>
      <w:marBottom w:val="0"/>
      <w:divBdr>
        <w:top w:val="none" w:sz="0" w:space="0" w:color="auto"/>
        <w:left w:val="none" w:sz="0" w:space="0" w:color="auto"/>
        <w:bottom w:val="none" w:sz="0" w:space="0" w:color="auto"/>
        <w:right w:val="none" w:sz="0" w:space="0" w:color="auto"/>
      </w:divBdr>
    </w:div>
    <w:div w:id="273293263">
      <w:bodyDiv w:val="1"/>
      <w:marLeft w:val="0"/>
      <w:marRight w:val="0"/>
      <w:marTop w:val="0"/>
      <w:marBottom w:val="0"/>
      <w:divBdr>
        <w:top w:val="none" w:sz="0" w:space="0" w:color="auto"/>
        <w:left w:val="none" w:sz="0" w:space="0" w:color="auto"/>
        <w:bottom w:val="none" w:sz="0" w:space="0" w:color="auto"/>
        <w:right w:val="none" w:sz="0" w:space="0" w:color="auto"/>
      </w:divBdr>
    </w:div>
    <w:div w:id="274295595">
      <w:bodyDiv w:val="1"/>
      <w:marLeft w:val="0"/>
      <w:marRight w:val="0"/>
      <w:marTop w:val="0"/>
      <w:marBottom w:val="0"/>
      <w:divBdr>
        <w:top w:val="none" w:sz="0" w:space="0" w:color="auto"/>
        <w:left w:val="none" w:sz="0" w:space="0" w:color="auto"/>
        <w:bottom w:val="none" w:sz="0" w:space="0" w:color="auto"/>
        <w:right w:val="none" w:sz="0" w:space="0" w:color="auto"/>
      </w:divBdr>
    </w:div>
    <w:div w:id="281496677">
      <w:bodyDiv w:val="1"/>
      <w:marLeft w:val="0"/>
      <w:marRight w:val="0"/>
      <w:marTop w:val="0"/>
      <w:marBottom w:val="0"/>
      <w:divBdr>
        <w:top w:val="none" w:sz="0" w:space="0" w:color="auto"/>
        <w:left w:val="none" w:sz="0" w:space="0" w:color="auto"/>
        <w:bottom w:val="none" w:sz="0" w:space="0" w:color="auto"/>
        <w:right w:val="none" w:sz="0" w:space="0" w:color="auto"/>
      </w:divBdr>
    </w:div>
    <w:div w:id="355499958">
      <w:bodyDiv w:val="1"/>
      <w:marLeft w:val="0"/>
      <w:marRight w:val="0"/>
      <w:marTop w:val="0"/>
      <w:marBottom w:val="0"/>
      <w:divBdr>
        <w:top w:val="none" w:sz="0" w:space="0" w:color="auto"/>
        <w:left w:val="none" w:sz="0" w:space="0" w:color="auto"/>
        <w:bottom w:val="none" w:sz="0" w:space="0" w:color="auto"/>
        <w:right w:val="none" w:sz="0" w:space="0" w:color="auto"/>
      </w:divBdr>
    </w:div>
    <w:div w:id="577176936">
      <w:bodyDiv w:val="1"/>
      <w:marLeft w:val="0"/>
      <w:marRight w:val="0"/>
      <w:marTop w:val="0"/>
      <w:marBottom w:val="0"/>
      <w:divBdr>
        <w:top w:val="none" w:sz="0" w:space="0" w:color="auto"/>
        <w:left w:val="none" w:sz="0" w:space="0" w:color="auto"/>
        <w:bottom w:val="none" w:sz="0" w:space="0" w:color="auto"/>
        <w:right w:val="none" w:sz="0" w:space="0" w:color="auto"/>
      </w:divBdr>
    </w:div>
    <w:div w:id="647901455">
      <w:bodyDiv w:val="1"/>
      <w:marLeft w:val="0"/>
      <w:marRight w:val="0"/>
      <w:marTop w:val="0"/>
      <w:marBottom w:val="0"/>
      <w:divBdr>
        <w:top w:val="none" w:sz="0" w:space="0" w:color="auto"/>
        <w:left w:val="none" w:sz="0" w:space="0" w:color="auto"/>
        <w:bottom w:val="none" w:sz="0" w:space="0" w:color="auto"/>
        <w:right w:val="none" w:sz="0" w:space="0" w:color="auto"/>
      </w:divBdr>
    </w:div>
    <w:div w:id="722484885">
      <w:bodyDiv w:val="1"/>
      <w:marLeft w:val="0"/>
      <w:marRight w:val="0"/>
      <w:marTop w:val="0"/>
      <w:marBottom w:val="0"/>
      <w:divBdr>
        <w:top w:val="none" w:sz="0" w:space="0" w:color="auto"/>
        <w:left w:val="none" w:sz="0" w:space="0" w:color="auto"/>
        <w:bottom w:val="none" w:sz="0" w:space="0" w:color="auto"/>
        <w:right w:val="none" w:sz="0" w:space="0" w:color="auto"/>
      </w:divBdr>
    </w:div>
    <w:div w:id="760686743">
      <w:bodyDiv w:val="1"/>
      <w:marLeft w:val="0"/>
      <w:marRight w:val="0"/>
      <w:marTop w:val="0"/>
      <w:marBottom w:val="0"/>
      <w:divBdr>
        <w:top w:val="none" w:sz="0" w:space="0" w:color="auto"/>
        <w:left w:val="none" w:sz="0" w:space="0" w:color="auto"/>
        <w:bottom w:val="none" w:sz="0" w:space="0" w:color="auto"/>
        <w:right w:val="none" w:sz="0" w:space="0" w:color="auto"/>
      </w:divBdr>
    </w:div>
    <w:div w:id="828639412">
      <w:bodyDiv w:val="1"/>
      <w:marLeft w:val="0"/>
      <w:marRight w:val="0"/>
      <w:marTop w:val="0"/>
      <w:marBottom w:val="0"/>
      <w:divBdr>
        <w:top w:val="none" w:sz="0" w:space="0" w:color="auto"/>
        <w:left w:val="none" w:sz="0" w:space="0" w:color="auto"/>
        <w:bottom w:val="none" w:sz="0" w:space="0" w:color="auto"/>
        <w:right w:val="none" w:sz="0" w:space="0" w:color="auto"/>
      </w:divBdr>
    </w:div>
    <w:div w:id="829519150">
      <w:bodyDiv w:val="1"/>
      <w:marLeft w:val="0"/>
      <w:marRight w:val="0"/>
      <w:marTop w:val="0"/>
      <w:marBottom w:val="0"/>
      <w:divBdr>
        <w:top w:val="none" w:sz="0" w:space="0" w:color="auto"/>
        <w:left w:val="none" w:sz="0" w:space="0" w:color="auto"/>
        <w:bottom w:val="none" w:sz="0" w:space="0" w:color="auto"/>
        <w:right w:val="none" w:sz="0" w:space="0" w:color="auto"/>
      </w:divBdr>
    </w:div>
    <w:div w:id="897784319">
      <w:bodyDiv w:val="1"/>
      <w:marLeft w:val="0"/>
      <w:marRight w:val="0"/>
      <w:marTop w:val="0"/>
      <w:marBottom w:val="0"/>
      <w:divBdr>
        <w:top w:val="none" w:sz="0" w:space="0" w:color="auto"/>
        <w:left w:val="none" w:sz="0" w:space="0" w:color="auto"/>
        <w:bottom w:val="none" w:sz="0" w:space="0" w:color="auto"/>
        <w:right w:val="none" w:sz="0" w:space="0" w:color="auto"/>
      </w:divBdr>
    </w:div>
    <w:div w:id="941450199">
      <w:bodyDiv w:val="1"/>
      <w:marLeft w:val="0"/>
      <w:marRight w:val="0"/>
      <w:marTop w:val="0"/>
      <w:marBottom w:val="0"/>
      <w:divBdr>
        <w:top w:val="none" w:sz="0" w:space="0" w:color="auto"/>
        <w:left w:val="none" w:sz="0" w:space="0" w:color="auto"/>
        <w:bottom w:val="none" w:sz="0" w:space="0" w:color="auto"/>
        <w:right w:val="none" w:sz="0" w:space="0" w:color="auto"/>
      </w:divBdr>
    </w:div>
    <w:div w:id="1002659578">
      <w:bodyDiv w:val="1"/>
      <w:marLeft w:val="0"/>
      <w:marRight w:val="0"/>
      <w:marTop w:val="0"/>
      <w:marBottom w:val="0"/>
      <w:divBdr>
        <w:top w:val="none" w:sz="0" w:space="0" w:color="auto"/>
        <w:left w:val="none" w:sz="0" w:space="0" w:color="auto"/>
        <w:bottom w:val="none" w:sz="0" w:space="0" w:color="auto"/>
        <w:right w:val="none" w:sz="0" w:space="0" w:color="auto"/>
      </w:divBdr>
    </w:div>
    <w:div w:id="1024939171">
      <w:bodyDiv w:val="1"/>
      <w:marLeft w:val="0"/>
      <w:marRight w:val="0"/>
      <w:marTop w:val="0"/>
      <w:marBottom w:val="0"/>
      <w:divBdr>
        <w:top w:val="none" w:sz="0" w:space="0" w:color="auto"/>
        <w:left w:val="none" w:sz="0" w:space="0" w:color="auto"/>
        <w:bottom w:val="none" w:sz="0" w:space="0" w:color="auto"/>
        <w:right w:val="none" w:sz="0" w:space="0" w:color="auto"/>
      </w:divBdr>
    </w:div>
    <w:div w:id="1175193571">
      <w:bodyDiv w:val="1"/>
      <w:marLeft w:val="0"/>
      <w:marRight w:val="0"/>
      <w:marTop w:val="0"/>
      <w:marBottom w:val="0"/>
      <w:divBdr>
        <w:top w:val="none" w:sz="0" w:space="0" w:color="auto"/>
        <w:left w:val="none" w:sz="0" w:space="0" w:color="auto"/>
        <w:bottom w:val="none" w:sz="0" w:space="0" w:color="auto"/>
        <w:right w:val="none" w:sz="0" w:space="0" w:color="auto"/>
      </w:divBdr>
    </w:div>
    <w:div w:id="1175415884">
      <w:bodyDiv w:val="1"/>
      <w:marLeft w:val="0"/>
      <w:marRight w:val="0"/>
      <w:marTop w:val="0"/>
      <w:marBottom w:val="0"/>
      <w:divBdr>
        <w:top w:val="none" w:sz="0" w:space="0" w:color="auto"/>
        <w:left w:val="none" w:sz="0" w:space="0" w:color="auto"/>
        <w:bottom w:val="none" w:sz="0" w:space="0" w:color="auto"/>
        <w:right w:val="none" w:sz="0" w:space="0" w:color="auto"/>
      </w:divBdr>
    </w:div>
    <w:div w:id="1189174013">
      <w:bodyDiv w:val="1"/>
      <w:marLeft w:val="0"/>
      <w:marRight w:val="0"/>
      <w:marTop w:val="0"/>
      <w:marBottom w:val="0"/>
      <w:divBdr>
        <w:top w:val="none" w:sz="0" w:space="0" w:color="auto"/>
        <w:left w:val="none" w:sz="0" w:space="0" w:color="auto"/>
        <w:bottom w:val="none" w:sz="0" w:space="0" w:color="auto"/>
        <w:right w:val="none" w:sz="0" w:space="0" w:color="auto"/>
      </w:divBdr>
    </w:div>
    <w:div w:id="1238982570">
      <w:bodyDiv w:val="1"/>
      <w:marLeft w:val="0"/>
      <w:marRight w:val="0"/>
      <w:marTop w:val="0"/>
      <w:marBottom w:val="0"/>
      <w:divBdr>
        <w:top w:val="none" w:sz="0" w:space="0" w:color="auto"/>
        <w:left w:val="none" w:sz="0" w:space="0" w:color="auto"/>
        <w:bottom w:val="none" w:sz="0" w:space="0" w:color="auto"/>
        <w:right w:val="none" w:sz="0" w:space="0" w:color="auto"/>
      </w:divBdr>
    </w:div>
    <w:div w:id="1250893347">
      <w:bodyDiv w:val="1"/>
      <w:marLeft w:val="0"/>
      <w:marRight w:val="0"/>
      <w:marTop w:val="0"/>
      <w:marBottom w:val="0"/>
      <w:divBdr>
        <w:top w:val="none" w:sz="0" w:space="0" w:color="auto"/>
        <w:left w:val="none" w:sz="0" w:space="0" w:color="auto"/>
        <w:bottom w:val="none" w:sz="0" w:space="0" w:color="auto"/>
        <w:right w:val="none" w:sz="0" w:space="0" w:color="auto"/>
      </w:divBdr>
      <w:divsChild>
        <w:div w:id="961424590">
          <w:marLeft w:val="0"/>
          <w:marRight w:val="0"/>
          <w:marTop w:val="0"/>
          <w:marBottom w:val="0"/>
          <w:divBdr>
            <w:top w:val="none" w:sz="0" w:space="0" w:color="auto"/>
            <w:left w:val="none" w:sz="0" w:space="0" w:color="auto"/>
            <w:bottom w:val="none" w:sz="0" w:space="0" w:color="auto"/>
            <w:right w:val="none" w:sz="0" w:space="0" w:color="auto"/>
          </w:divBdr>
        </w:div>
        <w:div w:id="1668631407">
          <w:marLeft w:val="0"/>
          <w:marRight w:val="0"/>
          <w:marTop w:val="0"/>
          <w:marBottom w:val="0"/>
          <w:divBdr>
            <w:top w:val="none" w:sz="0" w:space="0" w:color="auto"/>
            <w:left w:val="none" w:sz="0" w:space="0" w:color="auto"/>
            <w:bottom w:val="none" w:sz="0" w:space="0" w:color="auto"/>
            <w:right w:val="none" w:sz="0" w:space="0" w:color="auto"/>
          </w:divBdr>
        </w:div>
        <w:div w:id="2028480470">
          <w:marLeft w:val="0"/>
          <w:marRight w:val="0"/>
          <w:marTop w:val="0"/>
          <w:marBottom w:val="0"/>
          <w:divBdr>
            <w:top w:val="none" w:sz="0" w:space="0" w:color="auto"/>
            <w:left w:val="none" w:sz="0" w:space="0" w:color="auto"/>
            <w:bottom w:val="none" w:sz="0" w:space="0" w:color="auto"/>
            <w:right w:val="none" w:sz="0" w:space="0" w:color="auto"/>
          </w:divBdr>
        </w:div>
        <w:div w:id="1546526669">
          <w:marLeft w:val="0"/>
          <w:marRight w:val="0"/>
          <w:marTop w:val="0"/>
          <w:marBottom w:val="0"/>
          <w:divBdr>
            <w:top w:val="none" w:sz="0" w:space="0" w:color="auto"/>
            <w:left w:val="none" w:sz="0" w:space="0" w:color="auto"/>
            <w:bottom w:val="none" w:sz="0" w:space="0" w:color="auto"/>
            <w:right w:val="none" w:sz="0" w:space="0" w:color="auto"/>
          </w:divBdr>
        </w:div>
        <w:div w:id="203372784">
          <w:marLeft w:val="0"/>
          <w:marRight w:val="0"/>
          <w:marTop w:val="0"/>
          <w:marBottom w:val="0"/>
          <w:divBdr>
            <w:top w:val="none" w:sz="0" w:space="0" w:color="auto"/>
            <w:left w:val="none" w:sz="0" w:space="0" w:color="auto"/>
            <w:bottom w:val="none" w:sz="0" w:space="0" w:color="auto"/>
            <w:right w:val="none" w:sz="0" w:space="0" w:color="auto"/>
          </w:divBdr>
        </w:div>
        <w:div w:id="1879198947">
          <w:marLeft w:val="0"/>
          <w:marRight w:val="0"/>
          <w:marTop w:val="0"/>
          <w:marBottom w:val="0"/>
          <w:divBdr>
            <w:top w:val="none" w:sz="0" w:space="0" w:color="auto"/>
            <w:left w:val="none" w:sz="0" w:space="0" w:color="auto"/>
            <w:bottom w:val="none" w:sz="0" w:space="0" w:color="auto"/>
            <w:right w:val="none" w:sz="0" w:space="0" w:color="auto"/>
          </w:divBdr>
        </w:div>
        <w:div w:id="1113279775">
          <w:marLeft w:val="0"/>
          <w:marRight w:val="0"/>
          <w:marTop w:val="0"/>
          <w:marBottom w:val="0"/>
          <w:divBdr>
            <w:top w:val="none" w:sz="0" w:space="0" w:color="auto"/>
            <w:left w:val="none" w:sz="0" w:space="0" w:color="auto"/>
            <w:bottom w:val="none" w:sz="0" w:space="0" w:color="auto"/>
            <w:right w:val="none" w:sz="0" w:space="0" w:color="auto"/>
          </w:divBdr>
        </w:div>
      </w:divsChild>
    </w:div>
    <w:div w:id="1307390283">
      <w:bodyDiv w:val="1"/>
      <w:marLeft w:val="0"/>
      <w:marRight w:val="0"/>
      <w:marTop w:val="0"/>
      <w:marBottom w:val="0"/>
      <w:divBdr>
        <w:top w:val="none" w:sz="0" w:space="0" w:color="auto"/>
        <w:left w:val="none" w:sz="0" w:space="0" w:color="auto"/>
        <w:bottom w:val="none" w:sz="0" w:space="0" w:color="auto"/>
        <w:right w:val="none" w:sz="0" w:space="0" w:color="auto"/>
      </w:divBdr>
    </w:div>
    <w:div w:id="1326012336">
      <w:bodyDiv w:val="1"/>
      <w:marLeft w:val="0"/>
      <w:marRight w:val="0"/>
      <w:marTop w:val="0"/>
      <w:marBottom w:val="0"/>
      <w:divBdr>
        <w:top w:val="none" w:sz="0" w:space="0" w:color="auto"/>
        <w:left w:val="none" w:sz="0" w:space="0" w:color="auto"/>
        <w:bottom w:val="none" w:sz="0" w:space="0" w:color="auto"/>
        <w:right w:val="none" w:sz="0" w:space="0" w:color="auto"/>
      </w:divBdr>
    </w:div>
    <w:div w:id="1330525929">
      <w:bodyDiv w:val="1"/>
      <w:marLeft w:val="0"/>
      <w:marRight w:val="0"/>
      <w:marTop w:val="0"/>
      <w:marBottom w:val="0"/>
      <w:divBdr>
        <w:top w:val="none" w:sz="0" w:space="0" w:color="auto"/>
        <w:left w:val="none" w:sz="0" w:space="0" w:color="auto"/>
        <w:bottom w:val="none" w:sz="0" w:space="0" w:color="auto"/>
        <w:right w:val="none" w:sz="0" w:space="0" w:color="auto"/>
      </w:divBdr>
    </w:div>
    <w:div w:id="1336499947">
      <w:bodyDiv w:val="1"/>
      <w:marLeft w:val="0"/>
      <w:marRight w:val="0"/>
      <w:marTop w:val="0"/>
      <w:marBottom w:val="0"/>
      <w:divBdr>
        <w:top w:val="none" w:sz="0" w:space="0" w:color="auto"/>
        <w:left w:val="none" w:sz="0" w:space="0" w:color="auto"/>
        <w:bottom w:val="none" w:sz="0" w:space="0" w:color="auto"/>
        <w:right w:val="none" w:sz="0" w:space="0" w:color="auto"/>
      </w:divBdr>
    </w:div>
    <w:div w:id="1375159784">
      <w:bodyDiv w:val="1"/>
      <w:marLeft w:val="0"/>
      <w:marRight w:val="0"/>
      <w:marTop w:val="0"/>
      <w:marBottom w:val="0"/>
      <w:divBdr>
        <w:top w:val="none" w:sz="0" w:space="0" w:color="auto"/>
        <w:left w:val="none" w:sz="0" w:space="0" w:color="auto"/>
        <w:bottom w:val="none" w:sz="0" w:space="0" w:color="auto"/>
        <w:right w:val="none" w:sz="0" w:space="0" w:color="auto"/>
      </w:divBdr>
    </w:div>
    <w:div w:id="1375808433">
      <w:bodyDiv w:val="1"/>
      <w:marLeft w:val="0"/>
      <w:marRight w:val="0"/>
      <w:marTop w:val="0"/>
      <w:marBottom w:val="0"/>
      <w:divBdr>
        <w:top w:val="none" w:sz="0" w:space="0" w:color="auto"/>
        <w:left w:val="none" w:sz="0" w:space="0" w:color="auto"/>
        <w:bottom w:val="none" w:sz="0" w:space="0" w:color="auto"/>
        <w:right w:val="none" w:sz="0" w:space="0" w:color="auto"/>
      </w:divBdr>
    </w:div>
    <w:div w:id="1384989868">
      <w:bodyDiv w:val="1"/>
      <w:marLeft w:val="0"/>
      <w:marRight w:val="0"/>
      <w:marTop w:val="0"/>
      <w:marBottom w:val="0"/>
      <w:divBdr>
        <w:top w:val="none" w:sz="0" w:space="0" w:color="auto"/>
        <w:left w:val="none" w:sz="0" w:space="0" w:color="auto"/>
        <w:bottom w:val="none" w:sz="0" w:space="0" w:color="auto"/>
        <w:right w:val="none" w:sz="0" w:space="0" w:color="auto"/>
      </w:divBdr>
      <w:divsChild>
        <w:div w:id="506097751">
          <w:marLeft w:val="0"/>
          <w:marRight w:val="0"/>
          <w:marTop w:val="0"/>
          <w:marBottom w:val="0"/>
          <w:divBdr>
            <w:top w:val="none" w:sz="0" w:space="0" w:color="auto"/>
            <w:left w:val="none" w:sz="0" w:space="0" w:color="auto"/>
            <w:bottom w:val="none" w:sz="0" w:space="0" w:color="auto"/>
            <w:right w:val="none" w:sz="0" w:space="0" w:color="auto"/>
          </w:divBdr>
          <w:divsChild>
            <w:div w:id="276067143">
              <w:marLeft w:val="0"/>
              <w:marRight w:val="0"/>
              <w:marTop w:val="0"/>
              <w:marBottom w:val="0"/>
              <w:divBdr>
                <w:top w:val="none" w:sz="0" w:space="0" w:color="auto"/>
                <w:left w:val="none" w:sz="0" w:space="0" w:color="auto"/>
                <w:bottom w:val="none" w:sz="0" w:space="0" w:color="auto"/>
                <w:right w:val="none" w:sz="0" w:space="0" w:color="auto"/>
              </w:divBdr>
              <w:divsChild>
                <w:div w:id="548032148">
                  <w:marLeft w:val="0"/>
                  <w:marRight w:val="0"/>
                  <w:marTop w:val="0"/>
                  <w:marBottom w:val="0"/>
                  <w:divBdr>
                    <w:top w:val="none" w:sz="0" w:space="0" w:color="auto"/>
                    <w:left w:val="none" w:sz="0" w:space="0" w:color="auto"/>
                    <w:bottom w:val="none" w:sz="0" w:space="0" w:color="auto"/>
                    <w:right w:val="none" w:sz="0" w:space="0" w:color="auto"/>
                  </w:divBdr>
                  <w:divsChild>
                    <w:div w:id="1993558122">
                      <w:marLeft w:val="0"/>
                      <w:marRight w:val="0"/>
                      <w:marTop w:val="0"/>
                      <w:marBottom w:val="0"/>
                      <w:divBdr>
                        <w:top w:val="none" w:sz="0" w:space="0" w:color="auto"/>
                        <w:left w:val="none" w:sz="0" w:space="0" w:color="auto"/>
                        <w:bottom w:val="none" w:sz="0" w:space="0" w:color="auto"/>
                        <w:right w:val="none" w:sz="0" w:space="0" w:color="auto"/>
                      </w:divBdr>
                      <w:divsChild>
                        <w:div w:id="332758695">
                          <w:marLeft w:val="0"/>
                          <w:marRight w:val="0"/>
                          <w:marTop w:val="0"/>
                          <w:marBottom w:val="0"/>
                          <w:divBdr>
                            <w:top w:val="none" w:sz="0" w:space="0" w:color="auto"/>
                            <w:left w:val="none" w:sz="0" w:space="0" w:color="auto"/>
                            <w:bottom w:val="none" w:sz="0" w:space="0" w:color="auto"/>
                            <w:right w:val="none" w:sz="0" w:space="0" w:color="auto"/>
                          </w:divBdr>
                          <w:divsChild>
                            <w:div w:id="1567034469">
                              <w:marLeft w:val="0"/>
                              <w:marRight w:val="0"/>
                              <w:marTop w:val="0"/>
                              <w:marBottom w:val="0"/>
                              <w:divBdr>
                                <w:top w:val="none" w:sz="0" w:space="0" w:color="auto"/>
                                <w:left w:val="none" w:sz="0" w:space="0" w:color="auto"/>
                                <w:bottom w:val="none" w:sz="0" w:space="0" w:color="auto"/>
                                <w:right w:val="none" w:sz="0" w:space="0" w:color="auto"/>
                              </w:divBdr>
                              <w:divsChild>
                                <w:div w:id="1920627626">
                                  <w:marLeft w:val="0"/>
                                  <w:marRight w:val="0"/>
                                  <w:marTop w:val="0"/>
                                  <w:marBottom w:val="0"/>
                                  <w:divBdr>
                                    <w:top w:val="none" w:sz="0" w:space="0" w:color="auto"/>
                                    <w:left w:val="none" w:sz="0" w:space="0" w:color="auto"/>
                                    <w:bottom w:val="none" w:sz="0" w:space="0" w:color="auto"/>
                                    <w:right w:val="none" w:sz="0" w:space="0" w:color="auto"/>
                                  </w:divBdr>
                                  <w:divsChild>
                                    <w:div w:id="2085565320">
                                      <w:marLeft w:val="0"/>
                                      <w:marRight w:val="0"/>
                                      <w:marTop w:val="0"/>
                                      <w:marBottom w:val="0"/>
                                      <w:divBdr>
                                        <w:top w:val="none" w:sz="0" w:space="0" w:color="auto"/>
                                        <w:left w:val="none" w:sz="0" w:space="0" w:color="auto"/>
                                        <w:bottom w:val="none" w:sz="0" w:space="0" w:color="auto"/>
                                        <w:right w:val="none" w:sz="0" w:space="0" w:color="auto"/>
                                      </w:divBdr>
                                      <w:divsChild>
                                        <w:div w:id="2050566961">
                                          <w:marLeft w:val="0"/>
                                          <w:marRight w:val="0"/>
                                          <w:marTop w:val="0"/>
                                          <w:marBottom w:val="0"/>
                                          <w:divBdr>
                                            <w:top w:val="none" w:sz="0" w:space="0" w:color="auto"/>
                                            <w:left w:val="none" w:sz="0" w:space="0" w:color="auto"/>
                                            <w:bottom w:val="none" w:sz="0" w:space="0" w:color="auto"/>
                                            <w:right w:val="none" w:sz="0" w:space="0" w:color="auto"/>
                                          </w:divBdr>
                                          <w:divsChild>
                                            <w:div w:id="1668164741">
                                              <w:marLeft w:val="0"/>
                                              <w:marRight w:val="0"/>
                                              <w:marTop w:val="0"/>
                                              <w:marBottom w:val="0"/>
                                              <w:divBdr>
                                                <w:top w:val="none" w:sz="0" w:space="0" w:color="auto"/>
                                                <w:left w:val="none" w:sz="0" w:space="0" w:color="auto"/>
                                                <w:bottom w:val="none" w:sz="0" w:space="0" w:color="auto"/>
                                                <w:right w:val="none" w:sz="0" w:space="0" w:color="auto"/>
                                              </w:divBdr>
                                              <w:divsChild>
                                                <w:div w:id="643923806">
                                                  <w:marLeft w:val="0"/>
                                                  <w:marRight w:val="0"/>
                                                  <w:marTop w:val="0"/>
                                                  <w:marBottom w:val="0"/>
                                                  <w:divBdr>
                                                    <w:top w:val="none" w:sz="0" w:space="0" w:color="auto"/>
                                                    <w:left w:val="none" w:sz="0" w:space="0" w:color="auto"/>
                                                    <w:bottom w:val="none" w:sz="0" w:space="0" w:color="auto"/>
                                                    <w:right w:val="none" w:sz="0" w:space="0" w:color="auto"/>
                                                  </w:divBdr>
                                                  <w:divsChild>
                                                    <w:div w:id="815924445">
                                                      <w:marLeft w:val="0"/>
                                                      <w:marRight w:val="0"/>
                                                      <w:marTop w:val="0"/>
                                                      <w:marBottom w:val="0"/>
                                                      <w:divBdr>
                                                        <w:top w:val="none" w:sz="0" w:space="0" w:color="auto"/>
                                                        <w:left w:val="none" w:sz="0" w:space="0" w:color="auto"/>
                                                        <w:bottom w:val="none" w:sz="0" w:space="0" w:color="auto"/>
                                                        <w:right w:val="none" w:sz="0" w:space="0" w:color="auto"/>
                                                      </w:divBdr>
                                                      <w:divsChild>
                                                        <w:div w:id="316112115">
                                                          <w:marLeft w:val="0"/>
                                                          <w:marRight w:val="0"/>
                                                          <w:marTop w:val="0"/>
                                                          <w:marBottom w:val="0"/>
                                                          <w:divBdr>
                                                            <w:top w:val="none" w:sz="0" w:space="0" w:color="auto"/>
                                                            <w:left w:val="none" w:sz="0" w:space="0" w:color="auto"/>
                                                            <w:bottom w:val="none" w:sz="0" w:space="0" w:color="auto"/>
                                                            <w:right w:val="none" w:sz="0" w:space="0" w:color="auto"/>
                                                          </w:divBdr>
                                                          <w:divsChild>
                                                            <w:div w:id="1260679974">
                                                              <w:marLeft w:val="0"/>
                                                              <w:marRight w:val="0"/>
                                                              <w:marTop w:val="0"/>
                                                              <w:marBottom w:val="0"/>
                                                              <w:divBdr>
                                                                <w:top w:val="none" w:sz="0" w:space="0" w:color="auto"/>
                                                                <w:left w:val="none" w:sz="0" w:space="0" w:color="auto"/>
                                                                <w:bottom w:val="none" w:sz="0" w:space="0" w:color="auto"/>
                                                                <w:right w:val="none" w:sz="0" w:space="0" w:color="auto"/>
                                                              </w:divBdr>
                                                              <w:divsChild>
                                                                <w:div w:id="1561791611">
                                                                  <w:marLeft w:val="450"/>
                                                                  <w:marRight w:val="450"/>
                                                                  <w:marTop w:val="0"/>
                                                                  <w:marBottom w:val="0"/>
                                                                  <w:divBdr>
                                                                    <w:top w:val="none" w:sz="0" w:space="0" w:color="auto"/>
                                                                    <w:left w:val="none" w:sz="0" w:space="0" w:color="auto"/>
                                                                    <w:bottom w:val="single" w:sz="6" w:space="0" w:color="auto"/>
                                                                    <w:right w:val="none" w:sz="0" w:space="0" w:color="auto"/>
                                                                  </w:divBdr>
                                                                  <w:divsChild>
                                                                    <w:div w:id="1726372516">
                                                                      <w:marLeft w:val="0"/>
                                                                      <w:marRight w:val="0"/>
                                                                      <w:marTop w:val="0"/>
                                                                      <w:marBottom w:val="0"/>
                                                                      <w:divBdr>
                                                                        <w:top w:val="single" w:sz="6" w:space="0" w:color="C8C8C8"/>
                                                                        <w:left w:val="single" w:sz="6" w:space="0" w:color="C8C8C8"/>
                                                                        <w:bottom w:val="single" w:sz="6" w:space="0" w:color="C8C8C8"/>
                                                                        <w:right w:val="single" w:sz="6" w:space="0" w:color="C8C8C8"/>
                                                                      </w:divBdr>
                                                                      <w:divsChild>
                                                                        <w:div w:id="862520877">
                                                                          <w:marLeft w:val="0"/>
                                                                          <w:marRight w:val="0"/>
                                                                          <w:marTop w:val="0"/>
                                                                          <w:marBottom w:val="0"/>
                                                                          <w:divBdr>
                                                                            <w:top w:val="none" w:sz="0" w:space="0" w:color="auto"/>
                                                                            <w:left w:val="none" w:sz="0" w:space="0" w:color="auto"/>
                                                                            <w:bottom w:val="none" w:sz="0" w:space="0" w:color="auto"/>
                                                                            <w:right w:val="none" w:sz="0" w:space="0" w:color="auto"/>
                                                                          </w:divBdr>
                                                                          <w:divsChild>
                                                                            <w:div w:id="131825631">
                                                                              <w:marLeft w:val="0"/>
                                                                              <w:marRight w:val="0"/>
                                                                              <w:marTop w:val="0"/>
                                                                              <w:marBottom w:val="0"/>
                                                                              <w:divBdr>
                                                                                <w:top w:val="none" w:sz="0" w:space="0" w:color="auto"/>
                                                                                <w:left w:val="none" w:sz="0" w:space="0" w:color="auto"/>
                                                                                <w:bottom w:val="none" w:sz="0" w:space="0" w:color="auto"/>
                                                                                <w:right w:val="none" w:sz="0" w:space="0" w:color="auto"/>
                                                                              </w:divBdr>
                                                                              <w:divsChild>
                                                                                <w:div w:id="17319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032648">
      <w:bodyDiv w:val="1"/>
      <w:marLeft w:val="0"/>
      <w:marRight w:val="0"/>
      <w:marTop w:val="0"/>
      <w:marBottom w:val="0"/>
      <w:divBdr>
        <w:top w:val="none" w:sz="0" w:space="0" w:color="auto"/>
        <w:left w:val="none" w:sz="0" w:space="0" w:color="auto"/>
        <w:bottom w:val="none" w:sz="0" w:space="0" w:color="auto"/>
        <w:right w:val="none" w:sz="0" w:space="0" w:color="auto"/>
      </w:divBdr>
    </w:div>
    <w:div w:id="1471554999">
      <w:bodyDiv w:val="1"/>
      <w:marLeft w:val="0"/>
      <w:marRight w:val="0"/>
      <w:marTop w:val="0"/>
      <w:marBottom w:val="0"/>
      <w:divBdr>
        <w:top w:val="none" w:sz="0" w:space="0" w:color="auto"/>
        <w:left w:val="none" w:sz="0" w:space="0" w:color="auto"/>
        <w:bottom w:val="none" w:sz="0" w:space="0" w:color="auto"/>
        <w:right w:val="none" w:sz="0" w:space="0" w:color="auto"/>
      </w:divBdr>
    </w:div>
    <w:div w:id="1478184123">
      <w:bodyDiv w:val="1"/>
      <w:marLeft w:val="0"/>
      <w:marRight w:val="0"/>
      <w:marTop w:val="0"/>
      <w:marBottom w:val="0"/>
      <w:divBdr>
        <w:top w:val="none" w:sz="0" w:space="0" w:color="auto"/>
        <w:left w:val="none" w:sz="0" w:space="0" w:color="auto"/>
        <w:bottom w:val="none" w:sz="0" w:space="0" w:color="auto"/>
        <w:right w:val="none" w:sz="0" w:space="0" w:color="auto"/>
      </w:divBdr>
    </w:div>
    <w:div w:id="1487236381">
      <w:bodyDiv w:val="1"/>
      <w:marLeft w:val="0"/>
      <w:marRight w:val="0"/>
      <w:marTop w:val="0"/>
      <w:marBottom w:val="0"/>
      <w:divBdr>
        <w:top w:val="none" w:sz="0" w:space="0" w:color="auto"/>
        <w:left w:val="none" w:sz="0" w:space="0" w:color="auto"/>
        <w:bottom w:val="none" w:sz="0" w:space="0" w:color="auto"/>
        <w:right w:val="none" w:sz="0" w:space="0" w:color="auto"/>
      </w:divBdr>
    </w:div>
    <w:div w:id="1499615647">
      <w:bodyDiv w:val="1"/>
      <w:marLeft w:val="0"/>
      <w:marRight w:val="0"/>
      <w:marTop w:val="0"/>
      <w:marBottom w:val="0"/>
      <w:divBdr>
        <w:top w:val="none" w:sz="0" w:space="0" w:color="auto"/>
        <w:left w:val="none" w:sz="0" w:space="0" w:color="auto"/>
        <w:bottom w:val="none" w:sz="0" w:space="0" w:color="auto"/>
        <w:right w:val="none" w:sz="0" w:space="0" w:color="auto"/>
      </w:divBdr>
    </w:div>
    <w:div w:id="1501701994">
      <w:bodyDiv w:val="1"/>
      <w:marLeft w:val="0"/>
      <w:marRight w:val="0"/>
      <w:marTop w:val="0"/>
      <w:marBottom w:val="0"/>
      <w:divBdr>
        <w:top w:val="none" w:sz="0" w:space="0" w:color="auto"/>
        <w:left w:val="none" w:sz="0" w:space="0" w:color="auto"/>
        <w:bottom w:val="none" w:sz="0" w:space="0" w:color="auto"/>
        <w:right w:val="none" w:sz="0" w:space="0" w:color="auto"/>
      </w:divBdr>
    </w:div>
    <w:div w:id="1563061760">
      <w:bodyDiv w:val="1"/>
      <w:marLeft w:val="0"/>
      <w:marRight w:val="0"/>
      <w:marTop w:val="0"/>
      <w:marBottom w:val="0"/>
      <w:divBdr>
        <w:top w:val="none" w:sz="0" w:space="0" w:color="auto"/>
        <w:left w:val="none" w:sz="0" w:space="0" w:color="auto"/>
        <w:bottom w:val="none" w:sz="0" w:space="0" w:color="auto"/>
        <w:right w:val="none" w:sz="0" w:space="0" w:color="auto"/>
      </w:divBdr>
    </w:div>
    <w:div w:id="1568416801">
      <w:bodyDiv w:val="1"/>
      <w:marLeft w:val="0"/>
      <w:marRight w:val="0"/>
      <w:marTop w:val="0"/>
      <w:marBottom w:val="0"/>
      <w:divBdr>
        <w:top w:val="none" w:sz="0" w:space="0" w:color="auto"/>
        <w:left w:val="none" w:sz="0" w:space="0" w:color="auto"/>
        <w:bottom w:val="none" w:sz="0" w:space="0" w:color="auto"/>
        <w:right w:val="none" w:sz="0" w:space="0" w:color="auto"/>
      </w:divBdr>
    </w:div>
    <w:div w:id="1592082910">
      <w:bodyDiv w:val="1"/>
      <w:marLeft w:val="0"/>
      <w:marRight w:val="0"/>
      <w:marTop w:val="0"/>
      <w:marBottom w:val="0"/>
      <w:divBdr>
        <w:top w:val="none" w:sz="0" w:space="0" w:color="auto"/>
        <w:left w:val="none" w:sz="0" w:space="0" w:color="auto"/>
        <w:bottom w:val="none" w:sz="0" w:space="0" w:color="auto"/>
        <w:right w:val="none" w:sz="0" w:space="0" w:color="auto"/>
      </w:divBdr>
    </w:div>
    <w:div w:id="1619793920">
      <w:bodyDiv w:val="1"/>
      <w:marLeft w:val="0"/>
      <w:marRight w:val="0"/>
      <w:marTop w:val="0"/>
      <w:marBottom w:val="0"/>
      <w:divBdr>
        <w:top w:val="none" w:sz="0" w:space="0" w:color="auto"/>
        <w:left w:val="none" w:sz="0" w:space="0" w:color="auto"/>
        <w:bottom w:val="none" w:sz="0" w:space="0" w:color="auto"/>
        <w:right w:val="none" w:sz="0" w:space="0" w:color="auto"/>
      </w:divBdr>
    </w:div>
    <w:div w:id="1620650698">
      <w:bodyDiv w:val="1"/>
      <w:marLeft w:val="0"/>
      <w:marRight w:val="0"/>
      <w:marTop w:val="0"/>
      <w:marBottom w:val="0"/>
      <w:divBdr>
        <w:top w:val="none" w:sz="0" w:space="0" w:color="auto"/>
        <w:left w:val="none" w:sz="0" w:space="0" w:color="auto"/>
        <w:bottom w:val="none" w:sz="0" w:space="0" w:color="auto"/>
        <w:right w:val="none" w:sz="0" w:space="0" w:color="auto"/>
      </w:divBdr>
    </w:div>
    <w:div w:id="1628587300">
      <w:bodyDiv w:val="1"/>
      <w:marLeft w:val="0"/>
      <w:marRight w:val="0"/>
      <w:marTop w:val="0"/>
      <w:marBottom w:val="0"/>
      <w:divBdr>
        <w:top w:val="none" w:sz="0" w:space="0" w:color="auto"/>
        <w:left w:val="none" w:sz="0" w:space="0" w:color="auto"/>
        <w:bottom w:val="none" w:sz="0" w:space="0" w:color="auto"/>
        <w:right w:val="none" w:sz="0" w:space="0" w:color="auto"/>
      </w:divBdr>
    </w:div>
    <w:div w:id="1674381404">
      <w:bodyDiv w:val="1"/>
      <w:marLeft w:val="0"/>
      <w:marRight w:val="0"/>
      <w:marTop w:val="0"/>
      <w:marBottom w:val="0"/>
      <w:divBdr>
        <w:top w:val="none" w:sz="0" w:space="0" w:color="auto"/>
        <w:left w:val="none" w:sz="0" w:space="0" w:color="auto"/>
        <w:bottom w:val="none" w:sz="0" w:space="0" w:color="auto"/>
        <w:right w:val="none" w:sz="0" w:space="0" w:color="auto"/>
      </w:divBdr>
    </w:div>
    <w:div w:id="1677345445">
      <w:bodyDiv w:val="1"/>
      <w:marLeft w:val="0"/>
      <w:marRight w:val="0"/>
      <w:marTop w:val="0"/>
      <w:marBottom w:val="0"/>
      <w:divBdr>
        <w:top w:val="none" w:sz="0" w:space="0" w:color="auto"/>
        <w:left w:val="none" w:sz="0" w:space="0" w:color="auto"/>
        <w:bottom w:val="none" w:sz="0" w:space="0" w:color="auto"/>
        <w:right w:val="none" w:sz="0" w:space="0" w:color="auto"/>
      </w:divBdr>
    </w:div>
    <w:div w:id="1681422095">
      <w:bodyDiv w:val="1"/>
      <w:marLeft w:val="0"/>
      <w:marRight w:val="0"/>
      <w:marTop w:val="0"/>
      <w:marBottom w:val="0"/>
      <w:divBdr>
        <w:top w:val="none" w:sz="0" w:space="0" w:color="auto"/>
        <w:left w:val="none" w:sz="0" w:space="0" w:color="auto"/>
        <w:bottom w:val="none" w:sz="0" w:space="0" w:color="auto"/>
        <w:right w:val="none" w:sz="0" w:space="0" w:color="auto"/>
      </w:divBdr>
    </w:div>
    <w:div w:id="1689258744">
      <w:bodyDiv w:val="1"/>
      <w:marLeft w:val="0"/>
      <w:marRight w:val="0"/>
      <w:marTop w:val="0"/>
      <w:marBottom w:val="0"/>
      <w:divBdr>
        <w:top w:val="none" w:sz="0" w:space="0" w:color="auto"/>
        <w:left w:val="none" w:sz="0" w:space="0" w:color="auto"/>
        <w:bottom w:val="none" w:sz="0" w:space="0" w:color="auto"/>
        <w:right w:val="none" w:sz="0" w:space="0" w:color="auto"/>
      </w:divBdr>
    </w:div>
    <w:div w:id="1726248988">
      <w:bodyDiv w:val="1"/>
      <w:marLeft w:val="0"/>
      <w:marRight w:val="0"/>
      <w:marTop w:val="0"/>
      <w:marBottom w:val="0"/>
      <w:divBdr>
        <w:top w:val="none" w:sz="0" w:space="0" w:color="auto"/>
        <w:left w:val="none" w:sz="0" w:space="0" w:color="auto"/>
        <w:bottom w:val="none" w:sz="0" w:space="0" w:color="auto"/>
        <w:right w:val="none" w:sz="0" w:space="0" w:color="auto"/>
      </w:divBdr>
    </w:div>
    <w:div w:id="1730348997">
      <w:bodyDiv w:val="1"/>
      <w:marLeft w:val="0"/>
      <w:marRight w:val="0"/>
      <w:marTop w:val="0"/>
      <w:marBottom w:val="0"/>
      <w:divBdr>
        <w:top w:val="none" w:sz="0" w:space="0" w:color="auto"/>
        <w:left w:val="none" w:sz="0" w:space="0" w:color="auto"/>
        <w:bottom w:val="none" w:sz="0" w:space="0" w:color="auto"/>
        <w:right w:val="none" w:sz="0" w:space="0" w:color="auto"/>
      </w:divBdr>
    </w:div>
    <w:div w:id="1754473847">
      <w:bodyDiv w:val="1"/>
      <w:marLeft w:val="0"/>
      <w:marRight w:val="0"/>
      <w:marTop w:val="0"/>
      <w:marBottom w:val="0"/>
      <w:divBdr>
        <w:top w:val="none" w:sz="0" w:space="0" w:color="auto"/>
        <w:left w:val="none" w:sz="0" w:space="0" w:color="auto"/>
        <w:bottom w:val="none" w:sz="0" w:space="0" w:color="auto"/>
        <w:right w:val="none" w:sz="0" w:space="0" w:color="auto"/>
      </w:divBdr>
    </w:div>
    <w:div w:id="1925803007">
      <w:bodyDiv w:val="1"/>
      <w:marLeft w:val="0"/>
      <w:marRight w:val="0"/>
      <w:marTop w:val="0"/>
      <w:marBottom w:val="0"/>
      <w:divBdr>
        <w:top w:val="none" w:sz="0" w:space="0" w:color="auto"/>
        <w:left w:val="none" w:sz="0" w:space="0" w:color="auto"/>
        <w:bottom w:val="none" w:sz="0" w:space="0" w:color="auto"/>
        <w:right w:val="none" w:sz="0" w:space="0" w:color="auto"/>
      </w:divBdr>
    </w:div>
    <w:div w:id="1948853996">
      <w:bodyDiv w:val="1"/>
      <w:marLeft w:val="0"/>
      <w:marRight w:val="0"/>
      <w:marTop w:val="0"/>
      <w:marBottom w:val="0"/>
      <w:divBdr>
        <w:top w:val="none" w:sz="0" w:space="0" w:color="auto"/>
        <w:left w:val="none" w:sz="0" w:space="0" w:color="auto"/>
        <w:bottom w:val="none" w:sz="0" w:space="0" w:color="auto"/>
        <w:right w:val="none" w:sz="0" w:space="0" w:color="auto"/>
      </w:divBdr>
      <w:divsChild>
        <w:div w:id="285279128">
          <w:marLeft w:val="0"/>
          <w:marRight w:val="0"/>
          <w:marTop w:val="0"/>
          <w:marBottom w:val="0"/>
          <w:divBdr>
            <w:top w:val="none" w:sz="0" w:space="0" w:color="auto"/>
            <w:left w:val="none" w:sz="0" w:space="0" w:color="auto"/>
            <w:bottom w:val="none" w:sz="0" w:space="0" w:color="auto"/>
            <w:right w:val="none" w:sz="0" w:space="0" w:color="auto"/>
          </w:divBdr>
        </w:div>
        <w:div w:id="355666646">
          <w:marLeft w:val="0"/>
          <w:marRight w:val="0"/>
          <w:marTop w:val="0"/>
          <w:marBottom w:val="0"/>
          <w:divBdr>
            <w:top w:val="none" w:sz="0" w:space="0" w:color="auto"/>
            <w:left w:val="none" w:sz="0" w:space="0" w:color="auto"/>
            <w:bottom w:val="none" w:sz="0" w:space="0" w:color="auto"/>
            <w:right w:val="none" w:sz="0" w:space="0" w:color="auto"/>
          </w:divBdr>
        </w:div>
        <w:div w:id="807211185">
          <w:marLeft w:val="0"/>
          <w:marRight w:val="0"/>
          <w:marTop w:val="0"/>
          <w:marBottom w:val="0"/>
          <w:divBdr>
            <w:top w:val="none" w:sz="0" w:space="0" w:color="auto"/>
            <w:left w:val="none" w:sz="0" w:space="0" w:color="auto"/>
            <w:bottom w:val="none" w:sz="0" w:space="0" w:color="auto"/>
            <w:right w:val="none" w:sz="0" w:space="0" w:color="auto"/>
          </w:divBdr>
        </w:div>
        <w:div w:id="1371295710">
          <w:marLeft w:val="0"/>
          <w:marRight w:val="0"/>
          <w:marTop w:val="0"/>
          <w:marBottom w:val="0"/>
          <w:divBdr>
            <w:top w:val="none" w:sz="0" w:space="0" w:color="auto"/>
            <w:left w:val="none" w:sz="0" w:space="0" w:color="auto"/>
            <w:bottom w:val="none" w:sz="0" w:space="0" w:color="auto"/>
            <w:right w:val="none" w:sz="0" w:space="0" w:color="auto"/>
          </w:divBdr>
        </w:div>
        <w:div w:id="1406413941">
          <w:marLeft w:val="0"/>
          <w:marRight w:val="0"/>
          <w:marTop w:val="0"/>
          <w:marBottom w:val="0"/>
          <w:divBdr>
            <w:top w:val="none" w:sz="0" w:space="0" w:color="auto"/>
            <w:left w:val="none" w:sz="0" w:space="0" w:color="auto"/>
            <w:bottom w:val="none" w:sz="0" w:space="0" w:color="auto"/>
            <w:right w:val="none" w:sz="0" w:space="0" w:color="auto"/>
          </w:divBdr>
        </w:div>
      </w:divsChild>
    </w:div>
    <w:div w:id="2000889918">
      <w:bodyDiv w:val="1"/>
      <w:marLeft w:val="0"/>
      <w:marRight w:val="0"/>
      <w:marTop w:val="0"/>
      <w:marBottom w:val="0"/>
      <w:divBdr>
        <w:top w:val="none" w:sz="0" w:space="0" w:color="auto"/>
        <w:left w:val="none" w:sz="0" w:space="0" w:color="auto"/>
        <w:bottom w:val="none" w:sz="0" w:space="0" w:color="auto"/>
        <w:right w:val="none" w:sz="0" w:space="0" w:color="auto"/>
      </w:divBdr>
    </w:div>
    <w:div w:id="2018073745">
      <w:bodyDiv w:val="1"/>
      <w:marLeft w:val="0"/>
      <w:marRight w:val="0"/>
      <w:marTop w:val="0"/>
      <w:marBottom w:val="0"/>
      <w:divBdr>
        <w:top w:val="none" w:sz="0" w:space="0" w:color="auto"/>
        <w:left w:val="none" w:sz="0" w:space="0" w:color="auto"/>
        <w:bottom w:val="none" w:sz="0" w:space="0" w:color="auto"/>
        <w:right w:val="none" w:sz="0" w:space="0" w:color="auto"/>
      </w:divBdr>
    </w:div>
    <w:div w:id="2036540496">
      <w:bodyDiv w:val="1"/>
      <w:marLeft w:val="0"/>
      <w:marRight w:val="0"/>
      <w:marTop w:val="0"/>
      <w:marBottom w:val="0"/>
      <w:divBdr>
        <w:top w:val="none" w:sz="0" w:space="0" w:color="auto"/>
        <w:left w:val="none" w:sz="0" w:space="0" w:color="auto"/>
        <w:bottom w:val="none" w:sz="0" w:space="0" w:color="auto"/>
        <w:right w:val="none" w:sz="0" w:space="0" w:color="auto"/>
      </w:divBdr>
    </w:div>
    <w:div w:id="20482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prod/2011pubs/p20-565.pdf" TargetMode="External"/><Relationship Id="rId13" Type="http://schemas.openxmlformats.org/officeDocument/2006/relationships/hyperlink" Target="http://www.census.gov/hhes/migration/data/cps.html" TargetMode="External"/><Relationship Id="rId3" Type="http://schemas.openxmlformats.org/officeDocument/2006/relationships/hyperlink" Target="http://www.census.gov/hhes/migration/data/cps/historical.html" TargetMode="External"/><Relationship Id="rId7" Type="http://schemas.openxmlformats.org/officeDocument/2006/relationships/hyperlink" Target="http://www.census.gov/library/working-papers/2007/acs/2007_Boertlein_01.html" TargetMode="External"/><Relationship Id="rId12" Type="http://schemas.openxmlformats.org/officeDocument/2006/relationships/hyperlink" Target="http://www.census.gov/cps/methodology/techdocs.html" TargetMode="External"/><Relationship Id="rId2" Type="http://schemas.openxmlformats.org/officeDocument/2006/relationships/hyperlink" Target="http://www.census.gov/hhes/migration/files/CPSnote.pdf" TargetMode="External"/><Relationship Id="rId1" Type="http://schemas.openxmlformats.org/officeDocument/2006/relationships/hyperlink" Target="http://www.census.gov/prod/2011pubs/p20-565.pdf" TargetMode="External"/><Relationship Id="rId6" Type="http://schemas.openxmlformats.org/officeDocument/2006/relationships/hyperlink" Target="http://www.census.gov/hhes/migration/data/acs.html" TargetMode="External"/><Relationship Id="rId11" Type="http://schemas.openxmlformats.org/officeDocument/2006/relationships/hyperlink" Target="http://www.census.gov/history/pdf/acsdesign-methodology2014.pdf" TargetMode="External"/><Relationship Id="rId5" Type="http://schemas.openxmlformats.org/officeDocument/2006/relationships/hyperlink" Target="http://factfinder.census.gov" TargetMode="External"/><Relationship Id="rId10" Type="http://schemas.openxmlformats.org/officeDocument/2006/relationships/hyperlink" Target="http://www.bls.gov/cps/sample_redesign_2014.pdf" TargetMode="External"/><Relationship Id="rId4" Type="http://schemas.openxmlformats.org/officeDocument/2006/relationships/hyperlink" Target="http://www.census.gov/hhes/migration/data/cps.html" TargetMode="External"/><Relationship Id="rId9" Type="http://schemas.openxmlformats.org/officeDocument/2006/relationships/hyperlink" Target="http://www.census.gov/acs/www/Downloads/survey_methodology/acs_design_methodology_report_2014.pdf" TargetMode="External"/><Relationship Id="rId14" Type="http://schemas.openxmlformats.org/officeDocument/2006/relationships/hyperlink" Target="http://flowsmapper.geo.census.gov/"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454952962340469E-2"/>
          <c:y val="0.16028629043320805"/>
          <c:w val="0.7809667050045711"/>
          <c:h val="0.81919338514058293"/>
        </c:manualLayout>
      </c:layout>
      <c:lineChart>
        <c:grouping val="standard"/>
        <c:varyColors val="0"/>
        <c:ser>
          <c:idx val="0"/>
          <c:order val="0"/>
          <c:tx>
            <c:strRef>
              <c:f>Sheet1!$B$1</c:f>
              <c:strCache>
                <c:ptCount val="1"/>
                <c:pt idx="0">
                  <c:v>ASEC - Collection Period</c:v>
                </c:pt>
              </c:strCache>
            </c:strRef>
          </c:tx>
          <c:spPr>
            <a:ln w="76200"/>
          </c:spPr>
          <c:marker>
            <c:symbol val="none"/>
          </c:marker>
          <c:cat>
            <c:numRef>
              <c:f>Sheet1!$A$2:$A$54</c:f>
              <c:numCache>
                <c:formatCode>mmm\-yy</c:formatCode>
                <c:ptCount val="53"/>
                <c:pt idx="0">
                  <c:v>40909</c:v>
                </c:pt>
                <c:pt idx="1">
                  <c:v>40923</c:v>
                </c:pt>
                <c:pt idx="2">
                  <c:v>40940</c:v>
                </c:pt>
                <c:pt idx="3">
                  <c:v>40954</c:v>
                </c:pt>
                <c:pt idx="4">
                  <c:v>40969</c:v>
                </c:pt>
                <c:pt idx="5">
                  <c:v>40983</c:v>
                </c:pt>
                <c:pt idx="6">
                  <c:v>41000</c:v>
                </c:pt>
                <c:pt idx="7">
                  <c:v>41014</c:v>
                </c:pt>
                <c:pt idx="8">
                  <c:v>41030</c:v>
                </c:pt>
                <c:pt idx="9">
                  <c:v>41044</c:v>
                </c:pt>
                <c:pt idx="10">
                  <c:v>41061</c:v>
                </c:pt>
                <c:pt idx="11">
                  <c:v>41075</c:v>
                </c:pt>
                <c:pt idx="12">
                  <c:v>41091</c:v>
                </c:pt>
                <c:pt idx="13">
                  <c:v>41105</c:v>
                </c:pt>
                <c:pt idx="14">
                  <c:v>41122</c:v>
                </c:pt>
                <c:pt idx="15">
                  <c:v>41136</c:v>
                </c:pt>
                <c:pt idx="16">
                  <c:v>41153</c:v>
                </c:pt>
                <c:pt idx="17">
                  <c:v>41167</c:v>
                </c:pt>
                <c:pt idx="18">
                  <c:v>41183</c:v>
                </c:pt>
                <c:pt idx="19">
                  <c:v>41197</c:v>
                </c:pt>
                <c:pt idx="20">
                  <c:v>41214</c:v>
                </c:pt>
                <c:pt idx="21">
                  <c:v>41228</c:v>
                </c:pt>
                <c:pt idx="22">
                  <c:v>41244</c:v>
                </c:pt>
                <c:pt idx="23">
                  <c:v>41258</c:v>
                </c:pt>
                <c:pt idx="24">
                  <c:v>41275</c:v>
                </c:pt>
                <c:pt idx="25">
                  <c:v>41289</c:v>
                </c:pt>
                <c:pt idx="26">
                  <c:v>41306</c:v>
                </c:pt>
                <c:pt idx="27">
                  <c:v>41320</c:v>
                </c:pt>
                <c:pt idx="28">
                  <c:v>41334</c:v>
                </c:pt>
                <c:pt idx="29">
                  <c:v>41348</c:v>
                </c:pt>
                <c:pt idx="30">
                  <c:v>41365</c:v>
                </c:pt>
                <c:pt idx="31">
                  <c:v>41379</c:v>
                </c:pt>
                <c:pt idx="32">
                  <c:v>41395</c:v>
                </c:pt>
                <c:pt idx="33">
                  <c:v>41409</c:v>
                </c:pt>
                <c:pt idx="34">
                  <c:v>41426</c:v>
                </c:pt>
                <c:pt idx="35">
                  <c:v>41440</c:v>
                </c:pt>
                <c:pt idx="36">
                  <c:v>41456</c:v>
                </c:pt>
                <c:pt idx="37">
                  <c:v>41470</c:v>
                </c:pt>
                <c:pt idx="38">
                  <c:v>41487</c:v>
                </c:pt>
                <c:pt idx="39">
                  <c:v>41501</c:v>
                </c:pt>
                <c:pt idx="40">
                  <c:v>41518</c:v>
                </c:pt>
                <c:pt idx="41">
                  <c:v>41532</c:v>
                </c:pt>
                <c:pt idx="42">
                  <c:v>41548</c:v>
                </c:pt>
                <c:pt idx="43">
                  <c:v>41562</c:v>
                </c:pt>
                <c:pt idx="44">
                  <c:v>41579</c:v>
                </c:pt>
                <c:pt idx="45">
                  <c:v>41593</c:v>
                </c:pt>
                <c:pt idx="46">
                  <c:v>41609</c:v>
                </c:pt>
                <c:pt idx="47">
                  <c:v>41623</c:v>
                </c:pt>
                <c:pt idx="48">
                  <c:v>41640</c:v>
                </c:pt>
              </c:numCache>
            </c:numRef>
          </c:cat>
          <c:val>
            <c:numRef>
              <c:f>Sheet1!$B$2:$B$54</c:f>
              <c:numCache>
                <c:formatCode>General</c:formatCode>
                <c:ptCount val="53"/>
                <c:pt idx="27">
                  <c:v>2</c:v>
                </c:pt>
                <c:pt idx="28">
                  <c:v>2</c:v>
                </c:pt>
                <c:pt idx="29">
                  <c:v>2</c:v>
                </c:pt>
                <c:pt idx="30">
                  <c:v>2</c:v>
                </c:pt>
                <c:pt idx="31">
                  <c:v>2</c:v>
                </c:pt>
              </c:numCache>
            </c:numRef>
          </c:val>
          <c:smooth val="0"/>
        </c:ser>
        <c:ser>
          <c:idx val="1"/>
          <c:order val="1"/>
          <c:tx>
            <c:strRef>
              <c:f>Sheet1!$C$1</c:f>
              <c:strCache>
                <c:ptCount val="1"/>
                <c:pt idx="0">
                  <c:v>ASEC - Reference Period</c:v>
                </c:pt>
              </c:strCache>
            </c:strRef>
          </c:tx>
          <c:spPr>
            <a:ln w="76200">
              <a:solidFill>
                <a:schemeClr val="tx1"/>
              </a:solidFill>
            </a:ln>
          </c:spPr>
          <c:marker>
            <c:symbol val="none"/>
          </c:marker>
          <c:cat>
            <c:numRef>
              <c:f>Sheet1!$A$2:$A$54</c:f>
              <c:numCache>
                <c:formatCode>mmm\-yy</c:formatCode>
                <c:ptCount val="53"/>
                <c:pt idx="0">
                  <c:v>40909</c:v>
                </c:pt>
                <c:pt idx="1">
                  <c:v>40923</c:v>
                </c:pt>
                <c:pt idx="2">
                  <c:v>40940</c:v>
                </c:pt>
                <c:pt idx="3">
                  <c:v>40954</c:v>
                </c:pt>
                <c:pt idx="4">
                  <c:v>40969</c:v>
                </c:pt>
                <c:pt idx="5">
                  <c:v>40983</c:v>
                </c:pt>
                <c:pt idx="6">
                  <c:v>41000</c:v>
                </c:pt>
                <c:pt idx="7">
                  <c:v>41014</c:v>
                </c:pt>
                <c:pt idx="8">
                  <c:v>41030</c:v>
                </c:pt>
                <c:pt idx="9">
                  <c:v>41044</c:v>
                </c:pt>
                <c:pt idx="10">
                  <c:v>41061</c:v>
                </c:pt>
                <c:pt idx="11">
                  <c:v>41075</c:v>
                </c:pt>
                <c:pt idx="12">
                  <c:v>41091</c:v>
                </c:pt>
                <c:pt idx="13">
                  <c:v>41105</c:v>
                </c:pt>
                <c:pt idx="14">
                  <c:v>41122</c:v>
                </c:pt>
                <c:pt idx="15">
                  <c:v>41136</c:v>
                </c:pt>
                <c:pt idx="16">
                  <c:v>41153</c:v>
                </c:pt>
                <c:pt idx="17">
                  <c:v>41167</c:v>
                </c:pt>
                <c:pt idx="18">
                  <c:v>41183</c:v>
                </c:pt>
                <c:pt idx="19">
                  <c:v>41197</c:v>
                </c:pt>
                <c:pt idx="20">
                  <c:v>41214</c:v>
                </c:pt>
                <c:pt idx="21">
                  <c:v>41228</c:v>
                </c:pt>
                <c:pt idx="22">
                  <c:v>41244</c:v>
                </c:pt>
                <c:pt idx="23">
                  <c:v>41258</c:v>
                </c:pt>
                <c:pt idx="24">
                  <c:v>41275</c:v>
                </c:pt>
                <c:pt idx="25">
                  <c:v>41289</c:v>
                </c:pt>
                <c:pt idx="26">
                  <c:v>41306</c:v>
                </c:pt>
                <c:pt idx="27">
                  <c:v>41320</c:v>
                </c:pt>
                <c:pt idx="28">
                  <c:v>41334</c:v>
                </c:pt>
                <c:pt idx="29">
                  <c:v>41348</c:v>
                </c:pt>
                <c:pt idx="30">
                  <c:v>41365</c:v>
                </c:pt>
                <c:pt idx="31">
                  <c:v>41379</c:v>
                </c:pt>
                <c:pt idx="32">
                  <c:v>41395</c:v>
                </c:pt>
                <c:pt idx="33">
                  <c:v>41409</c:v>
                </c:pt>
                <c:pt idx="34">
                  <c:v>41426</c:v>
                </c:pt>
                <c:pt idx="35">
                  <c:v>41440</c:v>
                </c:pt>
                <c:pt idx="36">
                  <c:v>41456</c:v>
                </c:pt>
                <c:pt idx="37">
                  <c:v>41470</c:v>
                </c:pt>
                <c:pt idx="38">
                  <c:v>41487</c:v>
                </c:pt>
                <c:pt idx="39">
                  <c:v>41501</c:v>
                </c:pt>
                <c:pt idx="40">
                  <c:v>41518</c:v>
                </c:pt>
                <c:pt idx="41">
                  <c:v>41532</c:v>
                </c:pt>
                <c:pt idx="42">
                  <c:v>41548</c:v>
                </c:pt>
                <c:pt idx="43">
                  <c:v>41562</c:v>
                </c:pt>
                <c:pt idx="44">
                  <c:v>41579</c:v>
                </c:pt>
                <c:pt idx="45">
                  <c:v>41593</c:v>
                </c:pt>
                <c:pt idx="46">
                  <c:v>41609</c:v>
                </c:pt>
                <c:pt idx="47">
                  <c:v>41623</c:v>
                </c:pt>
                <c:pt idx="48">
                  <c:v>41640</c:v>
                </c:pt>
              </c:numCache>
            </c:numRef>
          </c:cat>
          <c:val>
            <c:numRef>
              <c:f>Sheet1!$C$2:$C$54</c:f>
              <c:numCache>
                <c:formatCode>General</c:formatCode>
                <c:ptCount val="53"/>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numCache>
            </c:numRef>
          </c:val>
          <c:smooth val="0"/>
        </c:ser>
        <c:ser>
          <c:idx val="2"/>
          <c:order val="2"/>
          <c:tx>
            <c:strRef>
              <c:f>Sheet1!$D$1</c:f>
              <c:strCache>
                <c:ptCount val="1"/>
                <c:pt idx="0">
                  <c:v>ACS - Reference Period</c:v>
                </c:pt>
              </c:strCache>
            </c:strRef>
          </c:tx>
          <c:spPr>
            <a:ln w="76200"/>
          </c:spPr>
          <c:marker>
            <c:symbol val="none"/>
          </c:marker>
          <c:cat>
            <c:numRef>
              <c:f>Sheet1!$A$2:$A$54</c:f>
              <c:numCache>
                <c:formatCode>mmm\-yy</c:formatCode>
                <c:ptCount val="53"/>
                <c:pt idx="0">
                  <c:v>40909</c:v>
                </c:pt>
                <c:pt idx="1">
                  <c:v>40923</c:v>
                </c:pt>
                <c:pt idx="2">
                  <c:v>40940</c:v>
                </c:pt>
                <c:pt idx="3">
                  <c:v>40954</c:v>
                </c:pt>
                <c:pt idx="4">
                  <c:v>40969</c:v>
                </c:pt>
                <c:pt idx="5">
                  <c:v>40983</c:v>
                </c:pt>
                <c:pt idx="6">
                  <c:v>41000</c:v>
                </c:pt>
                <c:pt idx="7">
                  <c:v>41014</c:v>
                </c:pt>
                <c:pt idx="8">
                  <c:v>41030</c:v>
                </c:pt>
                <c:pt idx="9">
                  <c:v>41044</c:v>
                </c:pt>
                <c:pt idx="10">
                  <c:v>41061</c:v>
                </c:pt>
                <c:pt idx="11">
                  <c:v>41075</c:v>
                </c:pt>
                <c:pt idx="12">
                  <c:v>41091</c:v>
                </c:pt>
                <c:pt idx="13">
                  <c:v>41105</c:v>
                </c:pt>
                <c:pt idx="14">
                  <c:v>41122</c:v>
                </c:pt>
                <c:pt idx="15">
                  <c:v>41136</c:v>
                </c:pt>
                <c:pt idx="16">
                  <c:v>41153</c:v>
                </c:pt>
                <c:pt idx="17">
                  <c:v>41167</c:v>
                </c:pt>
                <c:pt idx="18">
                  <c:v>41183</c:v>
                </c:pt>
                <c:pt idx="19">
                  <c:v>41197</c:v>
                </c:pt>
                <c:pt idx="20">
                  <c:v>41214</c:v>
                </c:pt>
                <c:pt idx="21">
                  <c:v>41228</c:v>
                </c:pt>
                <c:pt idx="22">
                  <c:v>41244</c:v>
                </c:pt>
                <c:pt idx="23">
                  <c:v>41258</c:v>
                </c:pt>
                <c:pt idx="24">
                  <c:v>41275</c:v>
                </c:pt>
                <c:pt idx="25">
                  <c:v>41289</c:v>
                </c:pt>
                <c:pt idx="26">
                  <c:v>41306</c:v>
                </c:pt>
                <c:pt idx="27">
                  <c:v>41320</c:v>
                </c:pt>
                <c:pt idx="28">
                  <c:v>41334</c:v>
                </c:pt>
                <c:pt idx="29">
                  <c:v>41348</c:v>
                </c:pt>
                <c:pt idx="30">
                  <c:v>41365</c:v>
                </c:pt>
                <c:pt idx="31">
                  <c:v>41379</c:v>
                </c:pt>
                <c:pt idx="32">
                  <c:v>41395</c:v>
                </c:pt>
                <c:pt idx="33">
                  <c:v>41409</c:v>
                </c:pt>
                <c:pt idx="34">
                  <c:v>41426</c:v>
                </c:pt>
                <c:pt idx="35">
                  <c:v>41440</c:v>
                </c:pt>
                <c:pt idx="36">
                  <c:v>41456</c:v>
                </c:pt>
                <c:pt idx="37">
                  <c:v>41470</c:v>
                </c:pt>
                <c:pt idx="38">
                  <c:v>41487</c:v>
                </c:pt>
                <c:pt idx="39">
                  <c:v>41501</c:v>
                </c:pt>
                <c:pt idx="40">
                  <c:v>41518</c:v>
                </c:pt>
                <c:pt idx="41">
                  <c:v>41532</c:v>
                </c:pt>
                <c:pt idx="42">
                  <c:v>41548</c:v>
                </c:pt>
                <c:pt idx="43">
                  <c:v>41562</c:v>
                </c:pt>
                <c:pt idx="44">
                  <c:v>41579</c:v>
                </c:pt>
                <c:pt idx="45">
                  <c:v>41593</c:v>
                </c:pt>
                <c:pt idx="46">
                  <c:v>41609</c:v>
                </c:pt>
                <c:pt idx="47">
                  <c:v>41623</c:v>
                </c:pt>
                <c:pt idx="48">
                  <c:v>41640</c:v>
                </c:pt>
              </c:numCache>
            </c:numRef>
          </c:cat>
          <c:val>
            <c:numRef>
              <c:f>Sheet1!$D$2:$D$54</c:f>
              <c:numCache>
                <c:formatCode>General</c:formatCode>
                <c:ptCount val="53"/>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numCache>
            </c:numRef>
          </c:val>
          <c:smooth val="0"/>
        </c:ser>
        <c:ser>
          <c:idx val="3"/>
          <c:order val="3"/>
          <c:tx>
            <c:strRef>
              <c:f>Sheet1!$E$1</c:f>
              <c:strCache>
                <c:ptCount val="1"/>
                <c:pt idx="0">
                  <c:v>ACS - Collection Period</c:v>
                </c:pt>
              </c:strCache>
            </c:strRef>
          </c:tx>
          <c:spPr>
            <a:ln w="76200"/>
          </c:spPr>
          <c:marker>
            <c:symbol val="none"/>
          </c:marker>
          <c:cat>
            <c:numRef>
              <c:f>Sheet1!$A$2:$A$54</c:f>
              <c:numCache>
                <c:formatCode>mmm\-yy</c:formatCode>
                <c:ptCount val="53"/>
                <c:pt idx="0">
                  <c:v>40909</c:v>
                </c:pt>
                <c:pt idx="1">
                  <c:v>40923</c:v>
                </c:pt>
                <c:pt idx="2">
                  <c:v>40940</c:v>
                </c:pt>
                <c:pt idx="3">
                  <c:v>40954</c:v>
                </c:pt>
                <c:pt idx="4">
                  <c:v>40969</c:v>
                </c:pt>
                <c:pt idx="5">
                  <c:v>40983</c:v>
                </c:pt>
                <c:pt idx="6">
                  <c:v>41000</c:v>
                </c:pt>
                <c:pt idx="7">
                  <c:v>41014</c:v>
                </c:pt>
                <c:pt idx="8">
                  <c:v>41030</c:v>
                </c:pt>
                <c:pt idx="9">
                  <c:v>41044</c:v>
                </c:pt>
                <c:pt idx="10">
                  <c:v>41061</c:v>
                </c:pt>
                <c:pt idx="11">
                  <c:v>41075</c:v>
                </c:pt>
                <c:pt idx="12">
                  <c:v>41091</c:v>
                </c:pt>
                <c:pt idx="13">
                  <c:v>41105</c:v>
                </c:pt>
                <c:pt idx="14">
                  <c:v>41122</c:v>
                </c:pt>
                <c:pt idx="15">
                  <c:v>41136</c:v>
                </c:pt>
                <c:pt idx="16">
                  <c:v>41153</c:v>
                </c:pt>
                <c:pt idx="17">
                  <c:v>41167</c:v>
                </c:pt>
                <c:pt idx="18">
                  <c:v>41183</c:v>
                </c:pt>
                <c:pt idx="19">
                  <c:v>41197</c:v>
                </c:pt>
                <c:pt idx="20">
                  <c:v>41214</c:v>
                </c:pt>
                <c:pt idx="21">
                  <c:v>41228</c:v>
                </c:pt>
                <c:pt idx="22">
                  <c:v>41244</c:v>
                </c:pt>
                <c:pt idx="23">
                  <c:v>41258</c:v>
                </c:pt>
                <c:pt idx="24">
                  <c:v>41275</c:v>
                </c:pt>
                <c:pt idx="25">
                  <c:v>41289</c:v>
                </c:pt>
                <c:pt idx="26">
                  <c:v>41306</c:v>
                </c:pt>
                <c:pt idx="27">
                  <c:v>41320</c:v>
                </c:pt>
                <c:pt idx="28">
                  <c:v>41334</c:v>
                </c:pt>
                <c:pt idx="29">
                  <c:v>41348</c:v>
                </c:pt>
                <c:pt idx="30">
                  <c:v>41365</c:v>
                </c:pt>
                <c:pt idx="31">
                  <c:v>41379</c:v>
                </c:pt>
                <c:pt idx="32">
                  <c:v>41395</c:v>
                </c:pt>
                <c:pt idx="33">
                  <c:v>41409</c:v>
                </c:pt>
                <c:pt idx="34">
                  <c:v>41426</c:v>
                </c:pt>
                <c:pt idx="35">
                  <c:v>41440</c:v>
                </c:pt>
                <c:pt idx="36">
                  <c:v>41456</c:v>
                </c:pt>
                <c:pt idx="37">
                  <c:v>41470</c:v>
                </c:pt>
                <c:pt idx="38">
                  <c:v>41487</c:v>
                </c:pt>
                <c:pt idx="39">
                  <c:v>41501</c:v>
                </c:pt>
                <c:pt idx="40">
                  <c:v>41518</c:v>
                </c:pt>
                <c:pt idx="41">
                  <c:v>41532</c:v>
                </c:pt>
                <c:pt idx="42">
                  <c:v>41548</c:v>
                </c:pt>
                <c:pt idx="43">
                  <c:v>41562</c:v>
                </c:pt>
                <c:pt idx="44">
                  <c:v>41579</c:v>
                </c:pt>
                <c:pt idx="45">
                  <c:v>41593</c:v>
                </c:pt>
                <c:pt idx="46">
                  <c:v>41609</c:v>
                </c:pt>
                <c:pt idx="47">
                  <c:v>41623</c:v>
                </c:pt>
                <c:pt idx="48">
                  <c:v>41640</c:v>
                </c:pt>
              </c:numCache>
            </c:numRef>
          </c:cat>
          <c:val>
            <c:numRef>
              <c:f>Sheet1!$E$2:$E$54</c:f>
              <c:numCache>
                <c:formatCode>General</c:formatCode>
                <c:ptCount val="53"/>
                <c:pt idx="24">
                  <c:v>-2</c:v>
                </c:pt>
                <c:pt idx="25">
                  <c:v>-2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pt idx="40">
                  <c:v>-2</c:v>
                </c:pt>
                <c:pt idx="41">
                  <c:v>-2</c:v>
                </c:pt>
                <c:pt idx="42">
                  <c:v>-2</c:v>
                </c:pt>
                <c:pt idx="43">
                  <c:v>-2</c:v>
                </c:pt>
                <c:pt idx="44">
                  <c:v>-2</c:v>
                </c:pt>
                <c:pt idx="45">
                  <c:v>-2</c:v>
                </c:pt>
                <c:pt idx="46">
                  <c:v>-2</c:v>
                </c:pt>
                <c:pt idx="47">
                  <c:v>-2</c:v>
                </c:pt>
                <c:pt idx="48">
                  <c:v>-2</c:v>
                </c:pt>
              </c:numCache>
            </c:numRef>
          </c:val>
          <c:smooth val="0"/>
        </c:ser>
        <c:dLbls>
          <c:showLegendKey val="0"/>
          <c:showVal val="0"/>
          <c:showCatName val="0"/>
          <c:showSerName val="0"/>
          <c:showPercent val="0"/>
          <c:showBubbleSize val="0"/>
        </c:dLbls>
        <c:marker val="1"/>
        <c:smooth val="0"/>
        <c:axId val="93653248"/>
        <c:axId val="186727424"/>
      </c:lineChart>
      <c:dateAx>
        <c:axId val="93653248"/>
        <c:scaling>
          <c:orientation val="minMax"/>
          <c:max val="41640"/>
          <c:min val="40909"/>
        </c:scaling>
        <c:delete val="0"/>
        <c:axPos val="b"/>
        <c:numFmt formatCode="mmm\-yy" sourceLinked="1"/>
        <c:majorTickMark val="out"/>
        <c:minorTickMark val="cross"/>
        <c:tickLblPos val="nextTo"/>
        <c:txPr>
          <a:bodyPr/>
          <a:lstStyle/>
          <a:p>
            <a:pPr>
              <a:defRPr>
                <a:latin typeface="Times New Roman" panose="02020603050405020304" pitchFamily="18" charset="0"/>
                <a:cs typeface="Times New Roman" panose="02020603050405020304" pitchFamily="18" charset="0"/>
              </a:defRPr>
            </a:pPr>
            <a:endParaRPr lang="en-US"/>
          </a:p>
        </c:txPr>
        <c:crossAx val="186727424"/>
        <c:crossesAt val="0"/>
        <c:auto val="1"/>
        <c:lblOffset val="100"/>
        <c:baseTimeUnit val="days"/>
        <c:majorUnit val="3"/>
        <c:majorTimeUnit val="months"/>
        <c:minorUnit val="1"/>
        <c:minorTimeUnit val="months"/>
      </c:dateAx>
      <c:valAx>
        <c:axId val="186727424"/>
        <c:scaling>
          <c:orientation val="minMax"/>
          <c:max val="2.2000000000000002"/>
          <c:min val="-2.2000000000000002"/>
        </c:scaling>
        <c:delete val="0"/>
        <c:axPos val="l"/>
        <c:majorGridlines>
          <c:spPr>
            <a:ln>
              <a:solidFill>
                <a:schemeClr val="bg1"/>
              </a:solidFill>
            </a:ln>
          </c:spPr>
        </c:majorGridlines>
        <c:numFmt formatCode="General" sourceLinked="1"/>
        <c:majorTickMark val="out"/>
        <c:minorTickMark val="none"/>
        <c:tickLblPos val="none"/>
        <c:spPr>
          <a:noFill/>
          <a:ln>
            <a:noFill/>
          </a:ln>
        </c:spPr>
        <c:crossAx val="93653248"/>
        <c:crosses val="autoZero"/>
        <c:crossBetween val="between"/>
        <c:majorUnit val="1"/>
        <c:minorUnit val="1"/>
      </c:valAx>
      <c:spPr>
        <a:ln>
          <a:noFill/>
        </a:ln>
      </c:spPr>
    </c:plotArea>
    <c:legend>
      <c:legendPos val="r"/>
      <c:layout>
        <c:manualLayout>
          <c:xMode val="edge"/>
          <c:yMode val="edge"/>
          <c:x val="0.68167726630325065"/>
          <c:y val="0.10193592416801558"/>
          <c:w val="0.2984357479659614"/>
          <c:h val="0.32592018305404186"/>
        </c:manualLayout>
      </c:layout>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0.00749</cdr:x>
      <cdr:y>0.01078</cdr:y>
    </cdr:from>
    <cdr:to>
      <cdr:x>0.72436</cdr:x>
      <cdr:y>0.16986</cdr:y>
    </cdr:to>
    <cdr:sp macro="" textlink="">
      <cdr:nvSpPr>
        <cdr:cNvPr id="2" name="TextBox 1"/>
        <cdr:cNvSpPr txBox="1"/>
      </cdr:nvSpPr>
      <cdr:spPr>
        <a:xfrm xmlns:a="http://schemas.openxmlformats.org/drawingml/2006/main">
          <a:off x="44518" y="31434"/>
          <a:ext cx="4260782" cy="4638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anose="02020603050405020304" pitchFamily="18" charset="0"/>
              <a:cs typeface="Times New Roman" panose="02020603050405020304" pitchFamily="18" charset="0"/>
            </a:rPr>
            <a:t>Figure 1: Collection and Reference</a:t>
          </a:r>
          <a:r>
            <a:rPr lang="en-US" sz="1000" baseline="0">
              <a:latin typeface="Times New Roman" panose="02020603050405020304" pitchFamily="18" charset="0"/>
              <a:cs typeface="Times New Roman" panose="02020603050405020304" pitchFamily="18" charset="0"/>
            </a:rPr>
            <a:t> Periods for the 2013 ACS and 2013 ASEC</a:t>
          </a:r>
        </a:p>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DC3C-60B4-4CFA-83EA-EC5CEDE8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E831D11C</Template>
  <TotalTime>155</TotalTime>
  <Pages>16</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 Ihrke</dc:creator>
  <cp:lastModifiedBy>David K Ihrke</cp:lastModifiedBy>
  <cp:revision>27</cp:revision>
  <cp:lastPrinted>2015-11-04T14:31:00Z</cp:lastPrinted>
  <dcterms:created xsi:type="dcterms:W3CDTF">2016-01-07T15:18:00Z</dcterms:created>
  <dcterms:modified xsi:type="dcterms:W3CDTF">2016-01-14T16:34:00Z</dcterms:modified>
</cp:coreProperties>
</file>