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5F" w:rsidRDefault="006B265F" w:rsidP="00F42E2E">
      <w:pPr>
        <w:jc w:val="center"/>
        <w:rPr>
          <w:b/>
        </w:rPr>
      </w:pPr>
      <w:bookmarkStart w:id="0" w:name="_GoBack"/>
      <w:bookmarkEnd w:id="0"/>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F42E2E">
      <w:pPr>
        <w:jc w:val="center"/>
        <w:rPr>
          <w:b/>
        </w:rPr>
      </w:pPr>
    </w:p>
    <w:p w:rsidR="006B265F" w:rsidRDefault="006B265F" w:rsidP="00E327BD">
      <w:pPr>
        <w:rPr>
          <w:b/>
        </w:rPr>
      </w:pPr>
    </w:p>
    <w:p w:rsidR="006B265F" w:rsidRDefault="006B265F" w:rsidP="00F42E2E">
      <w:pPr>
        <w:jc w:val="center"/>
        <w:rPr>
          <w:b/>
        </w:rPr>
      </w:pPr>
    </w:p>
    <w:p w:rsidR="006B265F" w:rsidRDefault="006B265F" w:rsidP="00F42E2E">
      <w:pPr>
        <w:jc w:val="center"/>
        <w:rPr>
          <w:b/>
        </w:rPr>
      </w:pPr>
    </w:p>
    <w:p w:rsidR="00F42E2E" w:rsidRDefault="00F42E2E" w:rsidP="00F42E2E">
      <w:pPr>
        <w:jc w:val="center"/>
        <w:rPr>
          <w:b/>
        </w:rPr>
      </w:pPr>
      <w:r w:rsidRPr="00175364">
        <w:rPr>
          <w:b/>
        </w:rPr>
        <w:t xml:space="preserve">Do Not Compare: Why 5-Year Migration Estimates from the Annual Social and Economic Supplement of the Current Population Survey Are Not Comparable with 5-Year Multiyear </w:t>
      </w:r>
      <w:r>
        <w:rPr>
          <w:b/>
        </w:rPr>
        <w:t xml:space="preserve">Migration </w:t>
      </w:r>
      <w:r w:rsidRPr="00175364">
        <w:rPr>
          <w:b/>
        </w:rPr>
        <w:t>Estimates from the American Community Survey</w:t>
      </w:r>
    </w:p>
    <w:p w:rsidR="005123A2" w:rsidRDefault="005123A2" w:rsidP="006B265F">
      <w:pPr>
        <w:jc w:val="center"/>
        <w:rPr>
          <w:b/>
        </w:rPr>
      </w:pPr>
    </w:p>
    <w:p w:rsidR="006B265F" w:rsidRDefault="006B265F" w:rsidP="006B265F">
      <w:pPr>
        <w:jc w:val="center"/>
        <w:rPr>
          <w:b/>
        </w:rPr>
      </w:pPr>
      <w:r>
        <w:rPr>
          <w:b/>
        </w:rPr>
        <w:t>David Ihrke</w:t>
      </w:r>
      <w:r>
        <w:rPr>
          <w:rStyle w:val="FootnoteReference"/>
          <w:b/>
        </w:rPr>
        <w:footnoteReference w:id="1"/>
      </w:r>
    </w:p>
    <w:p w:rsidR="005123A2" w:rsidRPr="005123A2" w:rsidRDefault="005123A2" w:rsidP="006B265F">
      <w:pPr>
        <w:jc w:val="center"/>
        <w:rPr>
          <w:sz w:val="20"/>
          <w:szCs w:val="20"/>
        </w:rPr>
      </w:pPr>
      <w:r w:rsidRPr="005123A2">
        <w:rPr>
          <w:sz w:val="20"/>
          <w:szCs w:val="20"/>
        </w:rPr>
        <w:t>U.S. Census Bureau</w:t>
      </w:r>
    </w:p>
    <w:p w:rsidR="005123A2" w:rsidRPr="005123A2" w:rsidRDefault="005123A2" w:rsidP="006B265F">
      <w:pPr>
        <w:jc w:val="center"/>
        <w:rPr>
          <w:sz w:val="20"/>
          <w:szCs w:val="20"/>
        </w:rPr>
      </w:pPr>
    </w:p>
    <w:p w:rsidR="00A53B24" w:rsidRDefault="00A53B24" w:rsidP="00A53B24">
      <w:pPr>
        <w:jc w:val="center"/>
        <w:rPr>
          <w:sz w:val="20"/>
          <w:szCs w:val="20"/>
        </w:rPr>
      </w:pPr>
      <w:r>
        <w:rPr>
          <w:sz w:val="20"/>
          <w:szCs w:val="20"/>
        </w:rPr>
        <w:t>SEHSD Working Paper Number</w:t>
      </w:r>
      <w:r w:rsidR="00835430">
        <w:rPr>
          <w:sz w:val="20"/>
          <w:szCs w:val="20"/>
        </w:rPr>
        <w:t xml:space="preserve"> 2017-02</w:t>
      </w:r>
    </w:p>
    <w:p w:rsidR="00A53B24" w:rsidRDefault="00A53B24">
      <w:pPr>
        <w:spacing w:after="200" w:line="276" w:lineRule="auto"/>
        <w:rPr>
          <w:sz w:val="20"/>
          <w:szCs w:val="20"/>
        </w:rPr>
      </w:pPr>
      <w:r>
        <w:rPr>
          <w:sz w:val="20"/>
          <w:szCs w:val="20"/>
        </w:rPr>
        <w:br w:type="page"/>
      </w:r>
    </w:p>
    <w:p w:rsidR="00F42E2E" w:rsidRPr="00F771AA" w:rsidRDefault="00F771AA" w:rsidP="00A53B24">
      <w:pPr>
        <w:rPr>
          <w:b/>
        </w:rPr>
      </w:pPr>
      <w:r w:rsidRPr="00F771AA">
        <w:rPr>
          <w:b/>
        </w:rPr>
        <w:lastRenderedPageBreak/>
        <w:t>Introduction</w:t>
      </w:r>
    </w:p>
    <w:p w:rsidR="00F771AA" w:rsidRDefault="00F771AA" w:rsidP="00F771AA"/>
    <w:p w:rsidR="003F0149" w:rsidRDefault="00680897" w:rsidP="00680897">
      <w:pPr>
        <w:ind w:firstLine="720"/>
      </w:pPr>
      <w:r>
        <w:t>The American Community Survey (ACS) and the Annual Social and Economic Supplement (ASEC) of the Current Population Survey</w:t>
      </w:r>
      <w:r w:rsidR="00777FA5">
        <w:t xml:space="preserve"> (CPS)</w:t>
      </w:r>
      <w:r>
        <w:t xml:space="preserve"> both collect data on geographical mobility. In some cases, </w:t>
      </w:r>
      <w:r w:rsidR="001D3D52">
        <w:t xml:space="preserve">migration </w:t>
      </w:r>
      <w:r>
        <w:t>estimates are comparable. For instance, annual migration rates between the ACS and ASEC</w:t>
      </w:r>
      <w:r w:rsidR="00832A0C">
        <w:t>. Even though mover rates</w:t>
      </w:r>
      <w:r w:rsidR="00533B03">
        <w:t xml:space="preserve"> have historically been</w:t>
      </w:r>
      <w:r w:rsidR="00832A0C">
        <w:t xml:space="preserve"> higher in the ACS than ASEC</w:t>
      </w:r>
      <w:r w:rsidR="00F83092">
        <w:t>, they are</w:t>
      </w:r>
      <w:r w:rsidR="00832A0C">
        <w:t xml:space="preserve"> comparable</w:t>
      </w:r>
      <w:r w:rsidR="00F42E2E">
        <w:t>.</w:t>
      </w:r>
      <w:r w:rsidR="003E7265">
        <w:rPr>
          <w:rStyle w:val="FootnoteReference"/>
        </w:rPr>
        <w:footnoteReference w:id="2"/>
      </w:r>
      <w:r w:rsidR="003E7265" w:rsidRPr="003E7265">
        <w:rPr>
          <w:vertAlign w:val="superscript"/>
        </w:rPr>
        <w:t>,</w:t>
      </w:r>
      <w:r w:rsidR="001D3D52">
        <w:rPr>
          <w:rStyle w:val="FootnoteReference"/>
        </w:rPr>
        <w:footnoteReference w:id="3"/>
      </w:r>
      <w:r w:rsidR="007872FF">
        <w:t xml:space="preserve"> In the case of 5-year ASEC migration data and 5-yea</w:t>
      </w:r>
      <w:r w:rsidR="00832A0C">
        <w:t xml:space="preserve">r multiyear ACS estimates, </w:t>
      </w:r>
      <w:r w:rsidR="00BB024F">
        <w:t xml:space="preserve">the estimates </w:t>
      </w:r>
      <w:r w:rsidR="007872FF">
        <w:t xml:space="preserve">are not comparable </w:t>
      </w:r>
      <w:r w:rsidR="00A2379D">
        <w:t>under any circumstance</w:t>
      </w:r>
      <w:r w:rsidR="007872FF">
        <w:t xml:space="preserve">. </w:t>
      </w:r>
      <w:r w:rsidR="00832A0C">
        <w:t xml:space="preserve">After describing the relevant history behind each </w:t>
      </w:r>
      <w:r w:rsidR="00D66155">
        <w:t>set of estimates</w:t>
      </w:r>
      <w:r w:rsidR="00832A0C">
        <w:t xml:space="preserve">, this paper explains why they are not comparable, which one to use, and when. </w:t>
      </w:r>
      <w:r>
        <w:t xml:space="preserve"> </w:t>
      </w:r>
    </w:p>
    <w:p w:rsidR="00832A0C" w:rsidRDefault="00832A0C" w:rsidP="00680897">
      <w:pPr>
        <w:ind w:firstLine="720"/>
      </w:pPr>
    </w:p>
    <w:p w:rsidR="00F771AA" w:rsidRPr="00040403" w:rsidRDefault="00A2379D" w:rsidP="00F771AA">
      <w:pPr>
        <w:rPr>
          <w:b/>
        </w:rPr>
      </w:pPr>
      <w:r>
        <w:rPr>
          <w:b/>
        </w:rPr>
        <w:t>History: Five-year CPS/ASEC</w:t>
      </w:r>
      <w:r w:rsidR="00F771AA" w:rsidRPr="00040403">
        <w:rPr>
          <w:b/>
        </w:rPr>
        <w:t xml:space="preserve"> Migration</w:t>
      </w:r>
    </w:p>
    <w:p w:rsidR="00F771AA" w:rsidRDefault="00F771AA" w:rsidP="00F771AA"/>
    <w:p w:rsidR="00DF4521" w:rsidRDefault="00556E36" w:rsidP="00F06BD5">
      <w:pPr>
        <w:ind w:firstLine="720"/>
      </w:pPr>
      <w:r>
        <w:t xml:space="preserve">Migration questions have been asked on the CPS since 1948, usually with a 1-year reference period. </w:t>
      </w:r>
      <w:r w:rsidR="00054BE2">
        <w:t>Between 1971 and 1980, the reference period of the migration</w:t>
      </w:r>
      <w:r w:rsidR="00CD74C7">
        <w:t xml:space="preserve"> question</w:t>
      </w:r>
      <w:r w:rsidR="00D37FDA">
        <w:t>s</w:t>
      </w:r>
      <w:r w:rsidR="00054BE2">
        <w:t xml:space="preserve"> changed</w:t>
      </w:r>
      <w:r w:rsidR="00CD74C7">
        <w:t>.</w:t>
      </w:r>
      <w:r w:rsidR="00054BE2">
        <w:t xml:space="preserve"> </w:t>
      </w:r>
      <w:r w:rsidR="00DA19F1">
        <w:t>Instead of asking where respondents lived 1 year ago, the question</w:t>
      </w:r>
      <w:r w:rsidR="008B74E3">
        <w:t>s</w:t>
      </w:r>
      <w:r w:rsidR="00DA19F1">
        <w:t xml:space="preserve"> asked where they lived in 1970 for people surveyed between 1971 through 1975 and 1975 for people surveyed between 1976 and 1980. </w:t>
      </w:r>
      <w:r w:rsidR="00CD74C7">
        <w:t xml:space="preserve">This approach created </w:t>
      </w:r>
      <w:r w:rsidR="00F06BD5">
        <w:t xml:space="preserve">the first </w:t>
      </w:r>
      <w:r w:rsidR="00CD74C7">
        <w:t>5-year migration estimates</w:t>
      </w:r>
      <w:r w:rsidR="00F06BD5">
        <w:t xml:space="preserve"> for the CPS in 1975. </w:t>
      </w:r>
      <w:r w:rsidR="00054BE2">
        <w:t>The fact that it fell on the year 1975, midway between the 1970 and 1980 Censuses, meant it could act as a midway point for Ce</w:t>
      </w:r>
      <w:r w:rsidR="00DC663C">
        <w:t xml:space="preserve">nsus 5-year migration estimates. </w:t>
      </w:r>
      <w:r w:rsidR="008B74E3">
        <w:t>Five-year questions were</w:t>
      </w:r>
      <w:r w:rsidR="001258E3">
        <w:t xml:space="preserve"> later </w:t>
      </w:r>
      <w:r w:rsidR="008B74E3">
        <w:t>added onto the CPS</w:t>
      </w:r>
      <w:r w:rsidR="00DC663C">
        <w:t xml:space="preserve"> in 1985, 1995, and 2005. The Census long form, the place where </w:t>
      </w:r>
      <w:r w:rsidR="00DF1F3A">
        <w:t>5-year</w:t>
      </w:r>
      <w:r w:rsidR="00DC663C">
        <w:t xml:space="preserve"> migration questions were </w:t>
      </w:r>
      <w:r w:rsidR="00DF1F3A">
        <w:t xml:space="preserve">historically </w:t>
      </w:r>
      <w:r w:rsidR="00DC663C">
        <w:t>asked, was discontinued after 2000, meaning no 5-year migration data wou</w:t>
      </w:r>
      <w:r w:rsidR="000474AE">
        <w:t>ld be collected</w:t>
      </w:r>
      <w:r w:rsidR="00C0573F">
        <w:t xml:space="preserve"> for 2010. </w:t>
      </w:r>
      <w:r w:rsidR="0012074E">
        <w:t xml:space="preserve">To </w:t>
      </w:r>
      <w:r w:rsidR="00A254D4">
        <w:t>alleviate</w:t>
      </w:r>
      <w:r w:rsidR="0012074E">
        <w:t xml:space="preserve"> this situation, </w:t>
      </w:r>
      <w:r w:rsidR="00F90DF5">
        <w:t>the 5-yea</w:t>
      </w:r>
      <w:r w:rsidR="00C0573F">
        <w:t xml:space="preserve">r </w:t>
      </w:r>
      <w:r w:rsidR="0012074E">
        <w:t xml:space="preserve">migration </w:t>
      </w:r>
      <w:r w:rsidR="00C0573F">
        <w:t>questions</w:t>
      </w:r>
      <w:r w:rsidR="0012074E">
        <w:t xml:space="preserve"> were added</w:t>
      </w:r>
      <w:r w:rsidR="00C0573F">
        <w:t xml:space="preserve"> to the 2010 </w:t>
      </w:r>
      <w:r w:rsidR="0012074E">
        <w:t>ASEC</w:t>
      </w:r>
      <w:r w:rsidR="00C0573F">
        <w:t>.</w:t>
      </w:r>
      <w:r w:rsidR="00A85E5E">
        <w:rPr>
          <w:rStyle w:val="FootnoteReference"/>
        </w:rPr>
        <w:footnoteReference w:id="4"/>
      </w:r>
      <w:r w:rsidR="00C0573F">
        <w:t xml:space="preserve"> This decision continued the trend of </w:t>
      </w:r>
      <w:r w:rsidR="00E557D3">
        <w:t xml:space="preserve">uninterrupted </w:t>
      </w:r>
      <w:r w:rsidR="00C0573F">
        <w:t xml:space="preserve">5-year data </w:t>
      </w:r>
      <w:r w:rsidR="00E557D3">
        <w:t>going back to 1975</w:t>
      </w:r>
      <w:r w:rsidR="00C0573F">
        <w:t xml:space="preserve">. </w:t>
      </w:r>
      <w:r w:rsidR="00010B3C">
        <w:t xml:space="preserve">More recently, the </w:t>
      </w:r>
      <w:r w:rsidR="00A54A7E">
        <w:t xml:space="preserve">5-year questions were asked on the 2015 ASEC. </w:t>
      </w:r>
      <w:r w:rsidR="00C0573F">
        <w:t>At the time of this writing, the</w:t>
      </w:r>
      <w:r w:rsidR="00E552DA">
        <w:t xml:space="preserve">re are plans to </w:t>
      </w:r>
      <w:r w:rsidR="00F07F4F">
        <w:t xml:space="preserve">continue to </w:t>
      </w:r>
      <w:r w:rsidR="00E552DA">
        <w:t>add</w:t>
      </w:r>
      <w:r w:rsidR="004544A3">
        <w:t xml:space="preserve"> 5-year migration questions </w:t>
      </w:r>
      <w:r w:rsidR="00E552DA">
        <w:t xml:space="preserve">to ASEC </w:t>
      </w:r>
      <w:r w:rsidR="00CD5728">
        <w:t>on years ending in “0” and “5</w:t>
      </w:r>
      <w:r w:rsidR="004544A3">
        <w:t xml:space="preserve">”. </w:t>
      </w:r>
    </w:p>
    <w:p w:rsidR="00DF4521" w:rsidRDefault="00DF4521" w:rsidP="00DF4521"/>
    <w:p w:rsidR="00DF4521" w:rsidRDefault="00DF4521" w:rsidP="00DF4521">
      <w:pPr>
        <w:rPr>
          <w:b/>
        </w:rPr>
      </w:pPr>
      <w:r w:rsidRPr="00DF4521">
        <w:rPr>
          <w:b/>
        </w:rPr>
        <w:t xml:space="preserve">History: Multiyear ACS Migration </w:t>
      </w:r>
      <w:r w:rsidR="00C0573F" w:rsidRPr="00DF4521">
        <w:rPr>
          <w:b/>
        </w:rPr>
        <w:t xml:space="preserve"> </w:t>
      </w:r>
    </w:p>
    <w:p w:rsidR="00DF4521" w:rsidRDefault="00DF4521" w:rsidP="00DF4521">
      <w:pPr>
        <w:rPr>
          <w:b/>
        </w:rPr>
      </w:pPr>
    </w:p>
    <w:p w:rsidR="00FF1D56" w:rsidRDefault="00DF4521" w:rsidP="00717913">
      <w:r>
        <w:rPr>
          <w:b/>
        </w:rPr>
        <w:tab/>
      </w:r>
      <w:r w:rsidR="00C0573F" w:rsidRPr="00DF4521">
        <w:rPr>
          <w:b/>
        </w:rPr>
        <w:t xml:space="preserve">  </w:t>
      </w:r>
      <w:r w:rsidR="00324645" w:rsidRPr="004B25BA">
        <w:t xml:space="preserve">The ACS </w:t>
      </w:r>
      <w:r w:rsidR="004B25BA">
        <w:t xml:space="preserve">began with </w:t>
      </w:r>
      <w:r w:rsidR="009D2AD1">
        <w:t>test</w:t>
      </w:r>
      <w:r w:rsidR="004B25BA">
        <w:t xml:space="preserve"> and </w:t>
      </w:r>
      <w:r w:rsidR="009D2AD1">
        <w:t xml:space="preserve">demonstration </w:t>
      </w:r>
      <w:r w:rsidR="004B25BA">
        <w:t>phases throughout the late 1990s and early 2000s.</w:t>
      </w:r>
      <w:r w:rsidR="001A1376">
        <w:rPr>
          <w:rStyle w:val="FootnoteReference"/>
        </w:rPr>
        <w:footnoteReference w:id="5"/>
      </w:r>
      <w:r w:rsidR="004B25BA">
        <w:t xml:space="preserve"> </w:t>
      </w:r>
      <w:r w:rsidR="00684D43">
        <w:t>Full implementation began in 2005</w:t>
      </w:r>
      <w:r w:rsidR="001B41A0">
        <w:t>, which was limited to household residents. G</w:t>
      </w:r>
      <w:r w:rsidR="004B25BA">
        <w:t xml:space="preserve">roup quarter (GQ) residents </w:t>
      </w:r>
      <w:r w:rsidR="00684D43">
        <w:t xml:space="preserve">were added </w:t>
      </w:r>
      <w:r w:rsidR="004B25BA">
        <w:t>in 2006.</w:t>
      </w:r>
      <w:r w:rsidR="00717913">
        <w:t xml:space="preserve"> </w:t>
      </w:r>
      <w:r w:rsidR="00862A35">
        <w:t>During this time, only geographies with populations of 65,000 or more received estimates from 1-year ACS data. G</w:t>
      </w:r>
      <w:r w:rsidR="00DA2F1F">
        <w:t xml:space="preserve">eographies with populations fewer than 65,000 </w:t>
      </w:r>
      <w:r w:rsidR="00862A35">
        <w:t>were forced to rely</w:t>
      </w:r>
      <w:r w:rsidR="00DA2F1F">
        <w:t xml:space="preserve"> on older</w:t>
      </w:r>
      <w:r w:rsidR="00862A35">
        <w:t>, dated</w:t>
      </w:r>
      <w:r w:rsidR="00DA2F1F">
        <w:t xml:space="preserve"> decennial cen</w:t>
      </w:r>
      <w:r w:rsidR="000E38C4">
        <w:t>sus data</w:t>
      </w:r>
      <w:r w:rsidR="00DA2ECC">
        <w:t xml:space="preserve"> or estimates from the population estimates program</w:t>
      </w:r>
      <w:r w:rsidR="000E38C4">
        <w:t xml:space="preserve">. </w:t>
      </w:r>
      <w:r w:rsidR="00C23410">
        <w:t>The</w:t>
      </w:r>
      <w:r w:rsidR="000E38C4">
        <w:t xml:space="preserve"> 3-year multiyear ACS estimate</w:t>
      </w:r>
      <w:r w:rsidR="00A70280">
        <w:t>s</w:t>
      </w:r>
      <w:r w:rsidR="00C23410">
        <w:t xml:space="preserve">, first released in 2008 using </w:t>
      </w:r>
      <w:r w:rsidR="005F405F">
        <w:lastRenderedPageBreak/>
        <w:t>2005 through 2007 ACS data</w:t>
      </w:r>
      <w:r w:rsidR="00133A39">
        <w:t>, offered a more up-to-date alternative</w:t>
      </w:r>
      <w:r w:rsidR="009D1374">
        <w:t xml:space="preserve"> for geographies with populations of 20,000 or more. </w:t>
      </w:r>
      <w:r w:rsidR="00D457DE">
        <w:t>Five-year multiyear</w:t>
      </w:r>
      <w:r w:rsidR="005E5C93">
        <w:t xml:space="preserve"> estimates</w:t>
      </w:r>
      <w:r w:rsidR="00D457DE">
        <w:t xml:space="preserve"> </w:t>
      </w:r>
      <w:r w:rsidR="005E5C93">
        <w:t xml:space="preserve">using 2005 through 2009 ACS data were first released in 2010. </w:t>
      </w:r>
      <w:r w:rsidR="00133A39">
        <w:t>These estimates</w:t>
      </w:r>
      <w:r w:rsidR="004A00DB">
        <w:t xml:space="preserve"> </w:t>
      </w:r>
      <w:r w:rsidR="00B31967">
        <w:t>were</w:t>
      </w:r>
      <w:r w:rsidR="004A00DB">
        <w:t xml:space="preserve"> available for all geographies, regardless of their population size. </w:t>
      </w:r>
    </w:p>
    <w:p w:rsidR="005300E8" w:rsidRDefault="00D03616" w:rsidP="00717913">
      <w:r>
        <w:t xml:space="preserve"> </w:t>
      </w:r>
      <w:r w:rsidR="00827B3F">
        <w:t xml:space="preserve"> </w:t>
      </w:r>
    </w:p>
    <w:p w:rsidR="003950D5" w:rsidRPr="00040403" w:rsidRDefault="00040403" w:rsidP="003950D5">
      <w:pPr>
        <w:rPr>
          <w:b/>
        </w:rPr>
      </w:pPr>
      <w:r w:rsidRPr="00040403">
        <w:rPr>
          <w:b/>
        </w:rPr>
        <w:t xml:space="preserve">What are </w:t>
      </w:r>
      <w:r w:rsidR="00B96913">
        <w:rPr>
          <w:b/>
        </w:rPr>
        <w:t xml:space="preserve">multiyear ACS estimates </w:t>
      </w:r>
      <w:r w:rsidRPr="00040403">
        <w:rPr>
          <w:b/>
        </w:rPr>
        <w:t xml:space="preserve">and how were they created? </w:t>
      </w:r>
    </w:p>
    <w:p w:rsidR="00040403" w:rsidRDefault="00040403" w:rsidP="003950D5"/>
    <w:p w:rsidR="00C63320" w:rsidRDefault="005300E8" w:rsidP="005300E8">
      <w:pPr>
        <w:ind w:firstLine="720"/>
      </w:pPr>
      <w:r>
        <w:t>Before continuing, it is important to understand what</w:t>
      </w:r>
      <w:r w:rsidR="00E13432">
        <w:t xml:space="preserve"> multiyear </w:t>
      </w:r>
      <w:r w:rsidR="00EA6D65">
        <w:t>ACS</w:t>
      </w:r>
      <w:r>
        <w:t xml:space="preserve"> estimates are and are not. </w:t>
      </w:r>
      <w:r w:rsidR="006D4740">
        <w:t xml:space="preserve">Multiyear estimates are several years of ACS data combined, or “pooled,” together </w:t>
      </w:r>
      <w:r w:rsidR="00BA0229">
        <w:t xml:space="preserve">and reprocessed </w:t>
      </w:r>
      <w:r w:rsidR="006D4740">
        <w:t>to crea</w:t>
      </w:r>
      <w:r w:rsidR="00BA0229">
        <w:t xml:space="preserve">te </w:t>
      </w:r>
      <w:r w:rsidR="006D4740">
        <w:t>new set</w:t>
      </w:r>
      <w:r w:rsidR="00BA0229">
        <w:t>s</w:t>
      </w:r>
      <w:r w:rsidR="006D4740">
        <w:t xml:space="preserve"> of </w:t>
      </w:r>
      <w:r w:rsidR="00CB2287">
        <w:t xml:space="preserve">period </w:t>
      </w:r>
      <w:r w:rsidR="006D4740">
        <w:t>estimates.</w:t>
      </w:r>
      <w:r w:rsidR="00EC7C2C">
        <w:rPr>
          <w:rStyle w:val="FootnoteReference"/>
        </w:rPr>
        <w:footnoteReference w:id="6"/>
      </w:r>
      <w:r w:rsidR="00BA0229" w:rsidRPr="00EA6D65">
        <w:rPr>
          <w:vertAlign w:val="superscript"/>
        </w:rPr>
        <w:t>,</w:t>
      </w:r>
      <w:r w:rsidR="00BA0229">
        <w:rPr>
          <w:rStyle w:val="FootnoteReference"/>
        </w:rPr>
        <w:footnoteReference w:id="7"/>
      </w:r>
      <w:r w:rsidR="00CC788C">
        <w:t xml:space="preserve"> </w:t>
      </w:r>
      <w:r w:rsidR="00AD654C">
        <w:t>S</w:t>
      </w:r>
      <w:r w:rsidR="00CC788C">
        <w:t>urvey questions remain the same for single-year and multiyear estimates. In the case of migration, the refer</w:t>
      </w:r>
      <w:r w:rsidR="00AD654C">
        <w:t>ence period of a move is still</w:t>
      </w:r>
      <w:r w:rsidR="00241638">
        <w:t xml:space="preserve"> one year</w:t>
      </w:r>
      <w:r w:rsidR="00CC788C">
        <w:t xml:space="preserve">. </w:t>
      </w:r>
      <w:r w:rsidR="00B416ED">
        <w:t>However, t</w:t>
      </w:r>
      <w:r w:rsidR="00CC788C">
        <w:t xml:space="preserve">he </w:t>
      </w:r>
      <w:r w:rsidR="00C92585">
        <w:t>interpretation of estimates changes</w:t>
      </w:r>
      <w:r w:rsidR="005036CA">
        <w:t xml:space="preserve"> because multiyear </w:t>
      </w:r>
      <w:r w:rsidR="00AD654C">
        <w:t>estimates cover</w:t>
      </w:r>
      <w:r w:rsidR="0083152A">
        <w:t xml:space="preserve"> longer</w:t>
      </w:r>
      <w:r w:rsidR="005036CA">
        <w:t xml:space="preserve"> </w:t>
      </w:r>
      <w:r w:rsidR="0083152A">
        <w:t xml:space="preserve">survey </w:t>
      </w:r>
      <w:r w:rsidR="005036CA">
        <w:t>period</w:t>
      </w:r>
      <w:r w:rsidR="00AD654C">
        <w:t>s</w:t>
      </w:r>
      <w:r w:rsidR="005036CA">
        <w:t xml:space="preserve"> than sing</w:t>
      </w:r>
      <w:r w:rsidR="008A5A81">
        <w:t>le-year estimates. Fo</w:t>
      </w:r>
      <w:r w:rsidR="009A06E2">
        <w:t>r example, according to the 2010</w:t>
      </w:r>
      <w:r w:rsidR="008A5A81">
        <w:t xml:space="preserve"> </w:t>
      </w:r>
      <w:r w:rsidR="00AD654C">
        <w:t xml:space="preserve">1-year </w:t>
      </w:r>
      <w:r w:rsidR="008A5A81">
        <w:t>ACS, 9.4 percent of the population 1 year and over moved within the sam</w:t>
      </w:r>
      <w:r w:rsidR="009A06E2">
        <w:t>e county between 2009 and 2010</w:t>
      </w:r>
      <w:r w:rsidR="00100C54">
        <w:t xml:space="preserve">. </w:t>
      </w:r>
      <w:r w:rsidR="0058324C">
        <w:t>In this example, a</w:t>
      </w:r>
      <w:r w:rsidR="00100C54">
        <w:t>ll of the respondents comple</w:t>
      </w:r>
      <w:r w:rsidR="0058324C">
        <w:t>ted the</w:t>
      </w:r>
      <w:r w:rsidR="009A06E2">
        <w:t xml:space="preserve"> ACS in 2010</w:t>
      </w:r>
      <w:r w:rsidR="0058324C">
        <w:t>. This is not the case for the mul</w:t>
      </w:r>
      <w:r w:rsidR="009A06E2">
        <w:t>tiyear estimates. Using the 2006-2010</w:t>
      </w:r>
      <w:r w:rsidR="0058324C">
        <w:t xml:space="preserve"> </w:t>
      </w:r>
      <w:r w:rsidR="009A06E2">
        <w:t>5-year multiyear estimates, 9.4</w:t>
      </w:r>
      <w:r w:rsidR="0058324C">
        <w:t xml:space="preserve"> percent moved within the same county within a 1-year period.</w:t>
      </w:r>
      <w:r w:rsidR="00C37604">
        <w:rPr>
          <w:rStyle w:val="FootnoteReference"/>
        </w:rPr>
        <w:footnoteReference w:id="8"/>
      </w:r>
      <w:r w:rsidR="0058324C">
        <w:t xml:space="preserve"> Some of </w:t>
      </w:r>
      <w:r w:rsidR="009915C5">
        <w:t xml:space="preserve">these respondents completed the ACS </w:t>
      </w:r>
      <w:r w:rsidR="006824DD">
        <w:t>in 2006</w:t>
      </w:r>
      <w:r w:rsidR="0058324C">
        <w:t xml:space="preserve"> while others completed it in 20</w:t>
      </w:r>
      <w:r w:rsidR="006824DD">
        <w:t>10</w:t>
      </w:r>
      <w:r w:rsidR="0058324C">
        <w:t xml:space="preserve">. </w:t>
      </w:r>
      <w:r w:rsidR="0083152A">
        <w:t xml:space="preserve">This is demonstrated visually in </w:t>
      </w:r>
      <w:r w:rsidR="0083152A" w:rsidRPr="0083152A">
        <w:rPr>
          <w:b/>
        </w:rPr>
        <w:t>Figure 1</w:t>
      </w:r>
      <w:r w:rsidR="00965087">
        <w:t>, which displays the survey and reference period for the 2006 through 2010 1-year ACS, the 2006-2010 5-year</w:t>
      </w:r>
      <w:r w:rsidR="00D165F3">
        <w:t xml:space="preserve"> ACS, and the 2010 5-year ASEC. For this example, t</w:t>
      </w:r>
      <w:r w:rsidR="00617025">
        <w:t>he correct interpretation</w:t>
      </w:r>
      <w:r w:rsidR="006824DD">
        <w:t xml:space="preserve"> is that 9.4</w:t>
      </w:r>
      <w:r w:rsidR="00993BC8">
        <w:t xml:space="preserve"> percent </w:t>
      </w:r>
      <w:r w:rsidR="00775D8D">
        <w:t>moved within the same county over</w:t>
      </w:r>
      <w:r w:rsidR="00993BC8">
        <w:t xml:space="preserve"> a 1-year </w:t>
      </w:r>
      <w:r w:rsidR="006824DD">
        <w:t>period between the years of 2006 and 2010</w:t>
      </w:r>
      <w:r w:rsidR="00993BC8">
        <w:t xml:space="preserve">. </w:t>
      </w:r>
    </w:p>
    <w:p w:rsidR="00C63320" w:rsidRDefault="00C63320" w:rsidP="00C63320"/>
    <w:p w:rsidR="00AF5D66" w:rsidRPr="001E2A84" w:rsidRDefault="00AF5D66" w:rsidP="00C63320">
      <w:pPr>
        <w:rPr>
          <w:b/>
        </w:rPr>
      </w:pPr>
      <w:r w:rsidRPr="001E2A84">
        <w:rPr>
          <w:b/>
        </w:rPr>
        <w:t xml:space="preserve">Why are the 5-year ASEC migration estimates not comparable with the 5-year multiyear ACS estimates? </w:t>
      </w:r>
    </w:p>
    <w:p w:rsidR="00AF5D66" w:rsidRDefault="00AF5D66" w:rsidP="00C63320"/>
    <w:p w:rsidR="005675C6" w:rsidRDefault="00AF5D66" w:rsidP="00C63320">
      <w:r>
        <w:tab/>
      </w:r>
      <w:r w:rsidR="00007ECF">
        <w:t>For data year 2015</w:t>
      </w:r>
      <w:r w:rsidR="00C6474B">
        <w:t>, the Census Bureau will produce</w:t>
      </w:r>
      <w:r w:rsidR="00007ECF">
        <w:t xml:space="preserve"> two sets of </w:t>
      </w:r>
      <w:r w:rsidR="00241638">
        <w:t>geographic mobility estimates referencing 5-year periods</w:t>
      </w:r>
      <w:r w:rsidR="00007ECF">
        <w:t>, one from</w:t>
      </w:r>
      <w:r w:rsidR="00BC77EB">
        <w:t xml:space="preserve"> the ASEC and one from the ACS. The ASEC estimates correspond to a migration question asking where the respondent lived 5 years ago. All respondents from the 2015 ASEC were </w:t>
      </w:r>
      <w:r w:rsidR="00B416ED">
        <w:t>surveyed</w:t>
      </w:r>
      <w:r w:rsidR="00BC77EB">
        <w:t xml:space="preserve"> in Feb</w:t>
      </w:r>
      <w:r w:rsidR="00B64E98">
        <w:t>ruary, March, or April of 2015</w:t>
      </w:r>
      <w:r w:rsidR="00CE2BFE">
        <w:t xml:space="preserve">, as shown in </w:t>
      </w:r>
      <w:r w:rsidR="00CE2BFE" w:rsidRPr="00CE2BFE">
        <w:rPr>
          <w:b/>
        </w:rPr>
        <w:t>Figure 1</w:t>
      </w:r>
      <w:r w:rsidR="00B64E98">
        <w:t>. Because ASEC asked a</w:t>
      </w:r>
      <w:r w:rsidR="009F7101">
        <w:t xml:space="preserve"> 5-year migration question, the population un</w:t>
      </w:r>
      <w:r w:rsidR="003F219D">
        <w:t>iverse was 5 years and over. T</w:t>
      </w:r>
      <w:r w:rsidR="009F7101">
        <w:t xml:space="preserve">he </w:t>
      </w:r>
      <w:r w:rsidR="00B64E98">
        <w:t>reference period</w:t>
      </w:r>
      <w:r w:rsidR="00BC77EB">
        <w:t xml:space="preserve"> for the 2015 5-year </w:t>
      </w:r>
      <w:r w:rsidR="00C3608D">
        <w:t xml:space="preserve">migration </w:t>
      </w:r>
      <w:r w:rsidR="00BC77EB">
        <w:t>estimates was F</w:t>
      </w:r>
      <w:r w:rsidR="000D3520">
        <w:t xml:space="preserve">ebruary 2010 to April 2015. </w:t>
      </w:r>
    </w:p>
    <w:p w:rsidR="00B64E98" w:rsidRDefault="000D3520" w:rsidP="005675C6">
      <w:pPr>
        <w:ind w:firstLine="720"/>
      </w:pPr>
      <w:r>
        <w:t xml:space="preserve">The 5-year </w:t>
      </w:r>
      <w:r w:rsidR="00CE2BFE">
        <w:t xml:space="preserve">multiyear </w:t>
      </w:r>
      <w:r w:rsidR="00223A9F">
        <w:t xml:space="preserve">ACS </w:t>
      </w:r>
      <w:r w:rsidR="00CE2BFE">
        <w:t xml:space="preserve">estimates </w:t>
      </w:r>
      <w:r w:rsidR="00631FC8">
        <w:t>use</w:t>
      </w:r>
      <w:r w:rsidR="00EF09D3">
        <w:t xml:space="preserve"> data from respondents who completed the survey between January 2011 and December 201</w:t>
      </w:r>
      <w:r w:rsidR="002E2DA3">
        <w:t>5, a much longer period than</w:t>
      </w:r>
      <w:r w:rsidR="00EF09D3">
        <w:t xml:space="preserve"> ASEC</w:t>
      </w:r>
      <w:r w:rsidR="002F7407">
        <w:t>.</w:t>
      </w:r>
      <w:r w:rsidR="00EF09D3">
        <w:t xml:space="preserve"> </w:t>
      </w:r>
      <w:r w:rsidR="00476D6A">
        <w:t>Regardless of what year respondents</w:t>
      </w:r>
      <w:r w:rsidR="001C100F">
        <w:t xml:space="preserve"> ans</w:t>
      </w:r>
      <w:r w:rsidR="00476D6A">
        <w:t>wered the questions, they</w:t>
      </w:r>
      <w:r w:rsidR="001C100F">
        <w:t xml:space="preserve"> were asked </w:t>
      </w:r>
      <w:r w:rsidR="00DA396F">
        <w:t>where they lived 1 year ago</w:t>
      </w:r>
      <w:r w:rsidR="00A97A9E">
        <w:t>.</w:t>
      </w:r>
      <w:r w:rsidR="00E32EE8">
        <w:rPr>
          <w:rStyle w:val="FootnoteReference"/>
        </w:rPr>
        <w:footnoteReference w:id="9"/>
      </w:r>
      <w:r w:rsidR="00A97A9E">
        <w:t xml:space="preserve"> </w:t>
      </w:r>
      <w:r w:rsidR="00476D6A">
        <w:t>For instance, s</w:t>
      </w:r>
      <w:r w:rsidR="001239BC">
        <w:t>omeone samp</w:t>
      </w:r>
      <w:r w:rsidR="00CE2BFE">
        <w:t>led</w:t>
      </w:r>
      <w:r w:rsidR="001239BC">
        <w:t xml:space="preserve"> January of 2011 had a reference period o</w:t>
      </w:r>
      <w:r w:rsidR="0041799E">
        <w:t xml:space="preserve">f January 2010 to </w:t>
      </w:r>
      <w:r w:rsidR="0041799E">
        <w:lastRenderedPageBreak/>
        <w:t xml:space="preserve">January 2011. On the opposite end of </w:t>
      </w:r>
      <w:r w:rsidR="00CE2BFE">
        <w:t>the spectrum, someone sampled</w:t>
      </w:r>
      <w:r w:rsidR="0041799E">
        <w:t xml:space="preserve"> December 2015 had a reference period of December 2014 to December 2015. </w:t>
      </w:r>
      <w:r w:rsidR="00555AC7">
        <w:t xml:space="preserve">The possible reference period for </w:t>
      </w:r>
      <w:r w:rsidR="00CE2BFE">
        <w:t>2011-</w:t>
      </w:r>
      <w:r w:rsidR="00555AC7">
        <w:t xml:space="preserve">2015 </w:t>
      </w:r>
      <w:r w:rsidR="00D86488">
        <w:t xml:space="preserve">5-year </w:t>
      </w:r>
      <w:r w:rsidR="00555AC7">
        <w:t xml:space="preserve">multiyear </w:t>
      </w:r>
      <w:r w:rsidR="007D31DD">
        <w:t>estimates</w:t>
      </w:r>
      <w:r w:rsidR="00555AC7">
        <w:t xml:space="preserve"> would be J</w:t>
      </w:r>
      <w:r w:rsidR="00476D6A">
        <w:t>anuary 1, 2010 to December 31, 2</w:t>
      </w:r>
      <w:r w:rsidR="00555AC7">
        <w:t>015.</w:t>
      </w:r>
      <w:r w:rsidR="007D31DD">
        <w:t xml:space="preserve"> </w:t>
      </w:r>
    </w:p>
    <w:p w:rsidR="00AF5D66" w:rsidRDefault="00B64E98" w:rsidP="00661B19">
      <w:pPr>
        <w:ind w:firstLine="720"/>
      </w:pPr>
      <w:r>
        <w:t xml:space="preserve">While the two reference periods look similar, they </w:t>
      </w:r>
      <w:r w:rsidR="000C1CF5">
        <w:t>have</w:t>
      </w:r>
      <w:r w:rsidR="005926BE">
        <w:t xml:space="preserve"> two entirely different </w:t>
      </w:r>
      <w:r w:rsidR="000C1CF5">
        <w:t>interpretations</w:t>
      </w:r>
      <w:r w:rsidR="005926BE">
        <w:t xml:space="preserve">. For </w:t>
      </w:r>
      <w:r w:rsidR="006147D9">
        <w:t>the 2011-</w:t>
      </w:r>
      <w:r w:rsidR="005926BE">
        <w:t xml:space="preserve">2015 5-year </w:t>
      </w:r>
      <w:r w:rsidR="00223A9F">
        <w:t>multiyear ACS</w:t>
      </w:r>
      <w:r w:rsidR="005926BE">
        <w:t xml:space="preserve"> migration</w:t>
      </w:r>
      <w:r w:rsidR="00995CC1">
        <w:t xml:space="preserve"> estimates, they amount</w:t>
      </w:r>
      <w:r w:rsidR="005926BE">
        <w:t xml:space="preserve"> to the number</w:t>
      </w:r>
      <w:r w:rsidR="00186767">
        <w:t xml:space="preserve"> </w:t>
      </w:r>
      <w:r w:rsidR="005926BE">
        <w:t>of people</w:t>
      </w:r>
      <w:r w:rsidR="004D61D0">
        <w:t xml:space="preserve"> aged 1 year and over</w:t>
      </w:r>
      <w:r w:rsidR="005926BE">
        <w:t xml:space="preserve"> who moved over a 1-year period betw</w:t>
      </w:r>
      <w:r w:rsidR="00CB00E1">
        <w:t>een the years of 2011</w:t>
      </w:r>
      <w:r w:rsidR="00995CC1">
        <w:t xml:space="preserve"> and 2015. For the 2015 ASEC, the 5-year migration estimates represent</w:t>
      </w:r>
      <w:r w:rsidR="004B30E0">
        <w:t xml:space="preserve"> the number of people 5 years and over </w:t>
      </w:r>
      <w:r w:rsidR="00CB00E1">
        <w:t>who moved within a 5-year</w:t>
      </w:r>
      <w:r w:rsidR="00872CA3">
        <w:t xml:space="preserve"> period, between 2010 and 2015. Attempts to match one estimate to the </w:t>
      </w:r>
      <w:r w:rsidR="00995CC1">
        <w:t>other</w:t>
      </w:r>
      <w:r w:rsidR="00872CA3">
        <w:t xml:space="preserve"> typically result</w:t>
      </w:r>
      <w:r w:rsidR="00995CC1">
        <w:t>s</w:t>
      </w:r>
      <w:r w:rsidR="00872CA3">
        <w:t xml:space="preserve"> in an under or overestimate.</w:t>
      </w:r>
      <w:r w:rsidR="00A27CDE">
        <w:rPr>
          <w:rStyle w:val="FootnoteReference"/>
        </w:rPr>
        <w:footnoteReference w:id="10"/>
      </w:r>
      <w:r w:rsidR="00A67617">
        <w:t xml:space="preserve"> For this reason, the Cens</w:t>
      </w:r>
      <w:r w:rsidR="004E7D46">
        <w:t>us Bureau recommends against comparing</w:t>
      </w:r>
      <w:r w:rsidR="00A67617">
        <w:t xml:space="preserve"> these estimates. </w:t>
      </w:r>
    </w:p>
    <w:p w:rsidR="00674F9D" w:rsidRDefault="00674F9D" w:rsidP="00674F9D"/>
    <w:p w:rsidR="001E4D47" w:rsidRPr="001E4D47" w:rsidRDefault="00EA4034" w:rsidP="00674F9D">
      <w:pPr>
        <w:rPr>
          <w:b/>
        </w:rPr>
      </w:pPr>
      <w:r>
        <w:rPr>
          <w:b/>
        </w:rPr>
        <w:t>Do Not Compare: A Hypothetical</w:t>
      </w:r>
      <w:r w:rsidR="001E4D47" w:rsidRPr="001E4D47">
        <w:rPr>
          <w:b/>
        </w:rPr>
        <w:t xml:space="preserve"> Example</w:t>
      </w:r>
    </w:p>
    <w:p w:rsidR="001E4D47" w:rsidRDefault="001E4D47" w:rsidP="00674F9D"/>
    <w:p w:rsidR="001C161F" w:rsidRDefault="009F17F8" w:rsidP="00674F9D">
      <w:r>
        <w:tab/>
      </w:r>
      <w:r w:rsidR="009C52E9">
        <w:t>To demonstrate dif</w:t>
      </w:r>
      <w:r w:rsidR="008E2D38">
        <w:t xml:space="preserve">ferences between the </w:t>
      </w:r>
      <w:r w:rsidR="00325E33">
        <w:t xml:space="preserve">5-year </w:t>
      </w:r>
      <w:r w:rsidR="008E2D38">
        <w:t xml:space="preserve">estimates, </w:t>
      </w:r>
      <w:r w:rsidR="00E606CC">
        <w:rPr>
          <w:b/>
        </w:rPr>
        <w:t>Table 1</w:t>
      </w:r>
      <w:r w:rsidR="00654813">
        <w:rPr>
          <w:b/>
        </w:rPr>
        <w:t xml:space="preserve"> </w:t>
      </w:r>
      <w:r w:rsidR="00654813" w:rsidRPr="00654813">
        <w:t>and</w:t>
      </w:r>
      <w:r w:rsidR="00AE5953">
        <w:rPr>
          <w:b/>
        </w:rPr>
        <w:t xml:space="preserve"> Figure 2</w:t>
      </w:r>
      <w:r w:rsidR="008E2D38" w:rsidRPr="00603B0E">
        <w:rPr>
          <w:b/>
        </w:rPr>
        <w:t xml:space="preserve"> </w:t>
      </w:r>
      <w:r w:rsidR="00654813">
        <w:t>contain</w:t>
      </w:r>
      <w:r w:rsidR="008E2D38">
        <w:t xml:space="preserve"> hypothetical</w:t>
      </w:r>
      <w:r w:rsidR="006713E7">
        <w:t xml:space="preserve"> data of national-</w:t>
      </w:r>
      <w:r w:rsidR="00603B0E">
        <w:t>level migration estimates</w:t>
      </w:r>
      <w:r w:rsidR="00325E33">
        <w:t xml:space="preserve"> for a 5-year period</w:t>
      </w:r>
      <w:r w:rsidR="00603B0E">
        <w:t>.</w:t>
      </w:r>
      <w:r w:rsidR="00325E33">
        <w:t xml:space="preserve"> The scenario shows a typical lev</w:t>
      </w:r>
      <w:r w:rsidR="00F461FE">
        <w:t>el of migration for ACS and ASEC</w:t>
      </w:r>
      <w:r w:rsidR="00325E33">
        <w:t xml:space="preserve"> during years 1 and 2. In this example, </w:t>
      </w:r>
      <w:r w:rsidR="00FA3586">
        <w:t>I define “typical” a</w:t>
      </w:r>
      <w:r w:rsidR="00325E33">
        <w:t>s 15 perce</w:t>
      </w:r>
      <w:r w:rsidR="00CC62EF">
        <w:t>nt for the ACS and 12 percent for</w:t>
      </w:r>
      <w:r w:rsidR="00325E33">
        <w:t xml:space="preserve"> the CPS. An event of some magnitude occurs, causing the migration rate to spike in year 3. </w:t>
      </w:r>
      <w:r w:rsidR="00A33A9B">
        <w:t>Year 4 is influenced by the residual of the event, resulting in slightly higher than</w:t>
      </w:r>
      <w:r w:rsidR="001C161F">
        <w:t xml:space="preserve"> normal migration rates. Year 5 shows a return to the typical rate reported in years 1 and 2. </w:t>
      </w:r>
    </w:p>
    <w:p w:rsidR="00AD557D" w:rsidRDefault="00F461FE" w:rsidP="00D537BA">
      <w:pPr>
        <w:ind w:firstLine="720"/>
      </w:pPr>
      <w:r>
        <w:t>In this example, the 5-year</w:t>
      </w:r>
      <w:r w:rsidR="004E1D02">
        <w:t xml:space="preserve"> multiyear </w:t>
      </w:r>
      <w:r>
        <w:t xml:space="preserve">ACS </w:t>
      </w:r>
      <w:r w:rsidR="004E1D02">
        <w:t>estimate is 1</w:t>
      </w:r>
      <w:r w:rsidR="00EF3906">
        <w:t>6.6</w:t>
      </w:r>
      <w:r>
        <w:t xml:space="preserve"> percent</w:t>
      </w:r>
      <w:r w:rsidR="00EF4301">
        <w:t>, calculated as the average of the 5 years</w:t>
      </w:r>
      <w:r w:rsidR="00EF3906">
        <w:t>.</w:t>
      </w:r>
      <w:r w:rsidR="00341763">
        <w:rPr>
          <w:rStyle w:val="FootnoteReference"/>
        </w:rPr>
        <w:footnoteReference w:id="11"/>
      </w:r>
      <w:r w:rsidR="00EF3906">
        <w:t xml:space="preserve"> </w:t>
      </w:r>
      <w:r w:rsidR="007201B6">
        <w:t xml:space="preserve">It is depicted as a dashed line in </w:t>
      </w:r>
      <w:r w:rsidR="007201B6" w:rsidRPr="007201B6">
        <w:rPr>
          <w:b/>
        </w:rPr>
        <w:t>Figure 2</w:t>
      </w:r>
      <w:r w:rsidR="001C7593">
        <w:rPr>
          <w:b/>
        </w:rPr>
        <w:t xml:space="preserve"> </w:t>
      </w:r>
      <w:r w:rsidR="00CE36FA" w:rsidRPr="00CE36FA">
        <w:t>because</w:t>
      </w:r>
      <w:r w:rsidR="00CE36FA">
        <w:rPr>
          <w:b/>
        </w:rPr>
        <w:t xml:space="preserve"> </w:t>
      </w:r>
      <w:r w:rsidR="00CE36FA" w:rsidRPr="00CE36FA">
        <w:t>it represents</w:t>
      </w:r>
      <w:r w:rsidR="00CE36FA">
        <w:rPr>
          <w:b/>
        </w:rPr>
        <w:t xml:space="preserve"> </w:t>
      </w:r>
      <w:r>
        <w:t xml:space="preserve">the </w:t>
      </w:r>
      <w:r w:rsidR="009A1344">
        <w:t>percent of people 1 year and over who moved wi</w:t>
      </w:r>
      <w:r w:rsidR="00EF4301">
        <w:t>thin any given 1</w:t>
      </w:r>
      <w:r w:rsidR="00CF39A1">
        <w:t>2-month</w:t>
      </w:r>
      <w:r w:rsidR="00EF4301">
        <w:t xml:space="preserve"> period</w:t>
      </w:r>
      <w:r w:rsidR="009A1344">
        <w:t xml:space="preserve"> between year 1 and year 5</w:t>
      </w:r>
      <w:r w:rsidR="00D537BA">
        <w:t>.</w:t>
      </w:r>
      <w:r w:rsidR="007D369D">
        <w:rPr>
          <w:rStyle w:val="FootnoteReference"/>
        </w:rPr>
        <w:footnoteReference w:id="12"/>
      </w:r>
      <w:r w:rsidR="00D537BA">
        <w:t xml:space="preserve"> </w:t>
      </w:r>
      <w:r w:rsidR="002467AE">
        <w:t xml:space="preserve">Respondents in the 5-year multiyear estimate could have been surveyed any time between years 1 and 5. </w:t>
      </w:r>
    </w:p>
    <w:p w:rsidR="00123FE7" w:rsidRDefault="00AD557D" w:rsidP="00D537BA">
      <w:pPr>
        <w:ind w:firstLine="720"/>
      </w:pPr>
      <w:r>
        <w:t>Notice that t</w:t>
      </w:r>
      <w:r w:rsidR="000D7365">
        <w:t xml:space="preserve">he 5-year </w:t>
      </w:r>
      <w:r w:rsidR="00E42D94">
        <w:t xml:space="preserve">ASEC </w:t>
      </w:r>
      <w:r w:rsidR="000D7365">
        <w:t>estimate</w:t>
      </w:r>
      <w:r w:rsidR="00076E68">
        <w:t xml:space="preserve"> of 33</w:t>
      </w:r>
      <w:r>
        <w:t xml:space="preserve"> percent</w:t>
      </w:r>
      <w:r w:rsidR="000D7365">
        <w:t xml:space="preserve"> </w:t>
      </w:r>
      <w:r w:rsidR="00CE36FA">
        <w:t>seems out of place in the</w:t>
      </w:r>
      <w:r w:rsidR="00EA7B96">
        <w:t xml:space="preserve"> upper</w:t>
      </w:r>
      <w:r w:rsidR="00CE36FA">
        <w:t xml:space="preserve"> right corner of </w:t>
      </w:r>
      <w:r w:rsidR="00832371" w:rsidRPr="00EA7B96">
        <w:rPr>
          <w:b/>
        </w:rPr>
        <w:t>F</w:t>
      </w:r>
      <w:r w:rsidRPr="00EA7B96">
        <w:rPr>
          <w:b/>
        </w:rPr>
        <w:t>igure</w:t>
      </w:r>
      <w:r w:rsidR="00832371" w:rsidRPr="00EA7B96">
        <w:rPr>
          <w:b/>
        </w:rPr>
        <w:t xml:space="preserve"> 2</w:t>
      </w:r>
      <w:r w:rsidR="000D7365">
        <w:t>.</w:t>
      </w:r>
      <w:r w:rsidR="005417A8">
        <w:t xml:space="preserve"> It represents the percent</w:t>
      </w:r>
      <w:r w:rsidR="00F461FE">
        <w:t xml:space="preserve"> of respondents</w:t>
      </w:r>
      <w:r w:rsidR="005417A8">
        <w:t xml:space="preserve"> 5 years and over</w:t>
      </w:r>
      <w:r w:rsidR="00F461FE">
        <w:t xml:space="preserve"> who moved </w:t>
      </w:r>
      <w:r w:rsidR="005417A8">
        <w:t>over a 5-year period</w:t>
      </w:r>
      <w:r w:rsidR="00F918C6">
        <w:t xml:space="preserve">. </w:t>
      </w:r>
      <w:r w:rsidR="002467AE">
        <w:t xml:space="preserve">Everyone is </w:t>
      </w:r>
      <w:r w:rsidR="00506AE8">
        <w:t>surveyed in year 5 and reporte</w:t>
      </w:r>
      <w:r w:rsidR="00780C69">
        <w:t>d on their movement since year 0</w:t>
      </w:r>
      <w:r w:rsidR="00506AE8">
        <w:t xml:space="preserve">. </w:t>
      </w:r>
      <w:r w:rsidR="00831130">
        <w:t xml:space="preserve">As this figure clearly demonstrates, the 5-year ASEC migration estimate is much higher than the </w:t>
      </w:r>
      <w:r w:rsidR="00C446A2">
        <w:t>other three rates</w:t>
      </w:r>
      <w:r w:rsidR="00831130">
        <w:t>.</w:t>
      </w:r>
      <w:r w:rsidR="00832371">
        <w:t xml:space="preserve"> Because it measures migration over a 5-year period instead of a 1-year period, it is</w:t>
      </w:r>
      <w:r w:rsidR="00CE15CD">
        <w:t xml:space="preserve"> not comparable to </w:t>
      </w:r>
      <w:r w:rsidR="00CE15CD" w:rsidRPr="00CE15CD">
        <w:rPr>
          <w:u w:val="single"/>
        </w:rPr>
        <w:t>any</w:t>
      </w:r>
      <w:r w:rsidR="00CE15CD">
        <w:t xml:space="preserve"> of the other estimates shown in </w:t>
      </w:r>
      <w:r w:rsidR="00CE15CD" w:rsidRPr="00AB757E">
        <w:rPr>
          <w:b/>
        </w:rPr>
        <w:t>Figure 2</w:t>
      </w:r>
      <w:r w:rsidR="00CE15CD">
        <w:t xml:space="preserve">. </w:t>
      </w:r>
    </w:p>
    <w:p w:rsidR="000824AE" w:rsidRDefault="000824AE" w:rsidP="00674F9D">
      <w:pPr>
        <w:rPr>
          <w:b/>
        </w:rPr>
      </w:pPr>
    </w:p>
    <w:p w:rsidR="00674F9D" w:rsidRPr="00674F9D" w:rsidRDefault="00674F9D" w:rsidP="00674F9D">
      <w:pPr>
        <w:rPr>
          <w:b/>
        </w:rPr>
      </w:pPr>
      <w:r w:rsidRPr="00674F9D">
        <w:rPr>
          <w:b/>
        </w:rPr>
        <w:t>Usage Guidance</w:t>
      </w:r>
    </w:p>
    <w:p w:rsidR="00CC788C" w:rsidRDefault="00617025" w:rsidP="00C63320">
      <w:r>
        <w:t xml:space="preserve"> </w:t>
      </w:r>
    </w:p>
    <w:p w:rsidR="00CC788C" w:rsidRDefault="00BF3C31" w:rsidP="005300E8">
      <w:pPr>
        <w:ind w:firstLine="720"/>
      </w:pPr>
      <w:r>
        <w:t>In order to answer the question,</w:t>
      </w:r>
      <w:r w:rsidR="00FD610D">
        <w:t xml:space="preserve"> “which set of estimates </w:t>
      </w:r>
      <w:r w:rsidR="00356266">
        <w:t xml:space="preserve">should </w:t>
      </w:r>
      <w:r w:rsidR="00FD610D">
        <w:t xml:space="preserve">I use,” </w:t>
      </w:r>
      <w:r>
        <w:t>it is important to first understand the</w:t>
      </w:r>
      <w:r w:rsidR="00874605">
        <w:t xml:space="preserve"> strengths and</w:t>
      </w:r>
      <w:r>
        <w:t xml:space="preserve"> limitat</w:t>
      </w:r>
      <w:r w:rsidR="00F74EFE">
        <w:t xml:space="preserve">ions of both sets of estimates. The 5-year ASEC estimates </w:t>
      </w:r>
      <w:r w:rsidR="004D3E0E">
        <w:t xml:space="preserve">cover a longer </w:t>
      </w:r>
      <w:r w:rsidR="008D2B16">
        <w:t>period of respondent migration. If you are interested in analyzing migration over a 5-year period, ASEC is the only choice</w:t>
      </w:r>
      <w:r w:rsidR="00835F73">
        <w:t xml:space="preserve"> between the </w:t>
      </w:r>
      <w:r w:rsidR="004A50FC">
        <w:t>ASEC and ACS</w:t>
      </w:r>
      <w:r w:rsidR="00835F73">
        <w:t>. Additionally, the CPS</w:t>
      </w:r>
      <w:r w:rsidR="008D2B16">
        <w:t xml:space="preserve"> offer</w:t>
      </w:r>
      <w:r w:rsidR="00835F73">
        <w:t>s</w:t>
      </w:r>
      <w:r w:rsidR="008D2B16">
        <w:t xml:space="preserve"> 5-year histo</w:t>
      </w:r>
      <w:r w:rsidR="004E4705">
        <w:t>rical data dating back to 1975.</w:t>
      </w:r>
      <w:r w:rsidR="007B4428">
        <w:rPr>
          <w:rStyle w:val="FootnoteReference"/>
        </w:rPr>
        <w:footnoteReference w:id="13"/>
      </w:r>
      <w:r w:rsidR="00CB13D3">
        <w:t xml:space="preserve"> However, t</w:t>
      </w:r>
      <w:r w:rsidR="004E4705">
        <w:t xml:space="preserve">here are a few limitations to the data that should be considered. First, most of the data are presented at </w:t>
      </w:r>
      <w:r w:rsidR="00EF042E">
        <w:t xml:space="preserve">the </w:t>
      </w:r>
      <w:r w:rsidR="00EF042E">
        <w:lastRenderedPageBreak/>
        <w:t>national and regional level</w:t>
      </w:r>
      <w:r w:rsidR="004E4705">
        <w:t xml:space="preserve">. Sample sizes </w:t>
      </w:r>
      <w:r w:rsidR="004A50FC">
        <w:t xml:space="preserve">for the CPS/ASEC </w:t>
      </w:r>
      <w:r w:rsidR="004E4705">
        <w:t>are relatively small</w:t>
      </w:r>
      <w:r w:rsidR="00EF042E">
        <w:t xml:space="preserve">, limiting the ability to focus </w:t>
      </w:r>
      <w:r w:rsidR="004C27FE">
        <w:t>on smaller geographies</w:t>
      </w:r>
      <w:r w:rsidR="00894759">
        <w:t xml:space="preserve"> or populations</w:t>
      </w:r>
      <w:r w:rsidR="004C27FE">
        <w:t>. Second, the po</w:t>
      </w:r>
      <w:r w:rsidR="009419EC">
        <w:t>pulation universe excludes many</w:t>
      </w:r>
      <w:r w:rsidR="004C27FE">
        <w:t xml:space="preserve"> grou</w:t>
      </w:r>
      <w:r w:rsidR="009419EC">
        <w:t>p quarter (GQ) residents</w:t>
      </w:r>
      <w:r w:rsidR="004C27FE">
        <w:t>, such as</w:t>
      </w:r>
      <w:r w:rsidR="00516AC8">
        <w:t xml:space="preserve"> students l</w:t>
      </w:r>
      <w:r w:rsidR="00C97199">
        <w:t xml:space="preserve">iving in college dormitories or </w:t>
      </w:r>
      <w:r w:rsidR="002D7CB8">
        <w:t>members</w:t>
      </w:r>
      <w:r w:rsidR="009419EC">
        <w:t xml:space="preserve"> of the armed forces</w:t>
      </w:r>
      <w:r w:rsidR="002D7CB8">
        <w:t xml:space="preserve"> </w:t>
      </w:r>
      <w:r w:rsidR="00CB13D3">
        <w:t>living on base.</w:t>
      </w:r>
      <w:r w:rsidR="005B753A">
        <w:rPr>
          <w:rStyle w:val="FootnoteReference"/>
        </w:rPr>
        <w:footnoteReference w:id="14"/>
      </w:r>
      <w:r w:rsidR="00CB13D3">
        <w:t xml:space="preserve"> Third, not all migration estimates are available for all years. For instance, distance of </w:t>
      </w:r>
      <w:proofErr w:type="spellStart"/>
      <w:r w:rsidR="00CB13D3">
        <w:t>intercounty</w:t>
      </w:r>
      <w:proofErr w:type="spellEnd"/>
      <w:r w:rsidR="00CB13D3">
        <w:t xml:space="preserve"> m</w:t>
      </w:r>
      <w:r w:rsidR="006147D9">
        <w:t xml:space="preserve">ove was first calculated in </w:t>
      </w:r>
      <w:r w:rsidR="00CB13D3">
        <w:t>ASEC in 2003. The</w:t>
      </w:r>
      <w:r w:rsidR="00737ADD">
        <w:t>refore, distance moved calculations are available for 5-year estimates from 2005, 2010, and 2015. Earli</w:t>
      </w:r>
      <w:r w:rsidR="007B70E1">
        <w:t xml:space="preserve">er 5-year estimates do not have distance moved </w:t>
      </w:r>
      <w:r w:rsidR="00B055DB">
        <w:t xml:space="preserve">calculated for </w:t>
      </w:r>
      <w:proofErr w:type="spellStart"/>
      <w:r w:rsidR="00B055DB">
        <w:t>intercounty</w:t>
      </w:r>
      <w:proofErr w:type="spellEnd"/>
      <w:r w:rsidR="00B055DB">
        <w:t xml:space="preserve"> move</w:t>
      </w:r>
      <w:r w:rsidR="007B70E1">
        <w:t xml:space="preserve">s. </w:t>
      </w:r>
      <w:r w:rsidR="00737ADD">
        <w:t xml:space="preserve"> </w:t>
      </w:r>
      <w:r w:rsidR="00CB13D3">
        <w:t xml:space="preserve">  </w:t>
      </w:r>
      <w:r w:rsidR="004C27FE">
        <w:t xml:space="preserve"> </w:t>
      </w:r>
    </w:p>
    <w:p w:rsidR="0099209B" w:rsidRDefault="0099209B" w:rsidP="005300E8">
      <w:pPr>
        <w:ind w:firstLine="720"/>
      </w:pPr>
      <w:r>
        <w:t xml:space="preserve">Five-year multiyear ACS estimates allow users to </w:t>
      </w:r>
      <w:r w:rsidR="006C5FFD">
        <w:t xml:space="preserve">concentrate on </w:t>
      </w:r>
      <w:r w:rsidR="00F63CF0">
        <w:t xml:space="preserve">1-year migration patterns for </w:t>
      </w:r>
      <w:r w:rsidR="006C5FFD">
        <w:t>smaller geographies and pop</w:t>
      </w:r>
      <w:r w:rsidR="005231F9">
        <w:t xml:space="preserve">ulations. They are </w:t>
      </w:r>
      <w:r w:rsidR="00901159">
        <w:t>the best</w:t>
      </w:r>
      <w:r w:rsidR="005231F9">
        <w:t xml:space="preserve"> source for the creation of migration flow products, such as state-to-state</w:t>
      </w:r>
      <w:r w:rsidR="00FF5854">
        <w:t>,</w:t>
      </w:r>
      <w:r w:rsidR="005231F9">
        <w:t xml:space="preserve"> county-to county</w:t>
      </w:r>
      <w:r w:rsidR="00FF5854">
        <w:t xml:space="preserve">, </w:t>
      </w:r>
      <w:r w:rsidR="00DD51E4">
        <w:t>and</w:t>
      </w:r>
      <w:r w:rsidR="00FF5854">
        <w:t xml:space="preserve"> metro-to-metro</w:t>
      </w:r>
      <w:r w:rsidR="00543594">
        <w:t xml:space="preserve"> flows</w:t>
      </w:r>
      <w:r w:rsidR="005231F9">
        <w:t>.</w:t>
      </w:r>
      <w:r w:rsidR="003849DD">
        <w:rPr>
          <w:rStyle w:val="FootnoteReference"/>
        </w:rPr>
        <w:footnoteReference w:id="15"/>
      </w:r>
      <w:r w:rsidR="005D3C38">
        <w:t xml:space="preserve"> Residents living in group quarters are included in</w:t>
      </w:r>
      <w:r w:rsidR="00864058">
        <w:t xml:space="preserve"> the ACS population universe</w:t>
      </w:r>
      <w:r w:rsidR="003B4451">
        <w:t>. Limitations of these dat</w:t>
      </w:r>
      <w:r w:rsidR="00A56624">
        <w:t>a include their limited history</w:t>
      </w:r>
      <w:r w:rsidR="00552490">
        <w:t>,</w:t>
      </w:r>
      <w:r w:rsidR="00A56624">
        <w:t xml:space="preserve"> difficulty of understanding</w:t>
      </w:r>
      <w:r w:rsidR="00552490">
        <w:t xml:space="preserve">, and </w:t>
      </w:r>
      <w:r w:rsidR="006147D9">
        <w:t xml:space="preserve">the </w:t>
      </w:r>
      <w:r w:rsidR="00552490">
        <w:t>possibility of overlap</w:t>
      </w:r>
      <w:r w:rsidR="00A56624">
        <w:t>.</w:t>
      </w:r>
      <w:r w:rsidR="00826421">
        <w:t xml:space="preserve"> The first set of 5-year multiyear ACS </w:t>
      </w:r>
      <w:r w:rsidR="00D6390B">
        <w:t>estimates</w:t>
      </w:r>
      <w:r w:rsidR="00826421">
        <w:t xml:space="preserve"> contained</w:t>
      </w:r>
      <w:r w:rsidR="00B32125">
        <w:t xml:space="preserve"> data from 2005 through 2009. Similar 5-year multiyear</w:t>
      </w:r>
      <w:r w:rsidR="00552490">
        <w:t xml:space="preserve"> ACS</w:t>
      </w:r>
      <w:r w:rsidR="00B32125">
        <w:t xml:space="preserve"> estimates</w:t>
      </w:r>
      <w:r w:rsidR="000F3003">
        <w:t xml:space="preserve"> are not available before then. In terms of understanding, the interpretation of a 1-year ACS mover rate for a given year is fairly </w:t>
      </w:r>
      <w:r w:rsidR="008C52A3">
        <w:t>straightforward</w:t>
      </w:r>
      <w:r w:rsidR="00552490">
        <w:t xml:space="preserve">, what percentage of people who completed the </w:t>
      </w:r>
      <w:r w:rsidR="004F0C97">
        <w:t xml:space="preserve">survey in </w:t>
      </w:r>
      <w:r w:rsidR="00DE3D84">
        <w:t>2015</w:t>
      </w:r>
      <w:r w:rsidR="00552490">
        <w:t xml:space="preserve"> moved to a new house or apartment within the last year</w:t>
      </w:r>
      <w:r w:rsidR="000F3003">
        <w:t xml:space="preserve">. The interpretation and understanding become increasingly complicated when </w:t>
      </w:r>
      <w:r w:rsidR="00642A63">
        <w:t>respondents from a variety of survey yea</w:t>
      </w:r>
      <w:r w:rsidR="003B7914">
        <w:t xml:space="preserve">rs are included. Using the 2015 5-year multiyear estimates, </w:t>
      </w:r>
      <w:r w:rsidR="00223A9F">
        <w:t xml:space="preserve">it is incorrect to say </w:t>
      </w:r>
      <w:r w:rsidR="001A68FF">
        <w:t xml:space="preserve">that a certain percentage moved with the last year. Instead, we can say that between 2011 and 2015, X </w:t>
      </w:r>
      <w:r w:rsidR="00B16869">
        <w:t>percent</w:t>
      </w:r>
      <w:r w:rsidR="008F2579">
        <w:t xml:space="preserve"> of people moved during any given 1-year period.</w:t>
      </w:r>
      <w:r w:rsidR="00B912F0">
        <w:t xml:space="preserve"> Lastly, compariso</w:t>
      </w:r>
      <w:r w:rsidR="004D2C6A">
        <w:t>ns should be avoided when using</w:t>
      </w:r>
      <w:r w:rsidR="005032A2">
        <w:t xml:space="preserve"> overlapping </w:t>
      </w:r>
      <w:r w:rsidR="00A74026">
        <w:t xml:space="preserve">multiyear </w:t>
      </w:r>
      <w:r w:rsidR="005032A2">
        <w:t>datasets.</w:t>
      </w:r>
      <w:r w:rsidR="00934198">
        <w:rPr>
          <w:rStyle w:val="FootnoteReference"/>
        </w:rPr>
        <w:footnoteReference w:id="16"/>
      </w:r>
      <w:r w:rsidR="005032A2">
        <w:t xml:space="preserve"> The 2005-2009 an</w:t>
      </w:r>
      <w:r w:rsidR="00D8775B">
        <w:t xml:space="preserve">d 2006-2010 5-year ACS datasets overlap for the years 2006, 2007, 2008, and 2009. </w:t>
      </w:r>
      <w:r w:rsidR="00347C1A">
        <w:t xml:space="preserve">This leaves 2005 and 2010 as the only non-overlapping years between the datasets. </w:t>
      </w:r>
      <w:r w:rsidR="008F2579">
        <w:t xml:space="preserve"> </w:t>
      </w:r>
      <w:r w:rsidR="001A68FF">
        <w:t xml:space="preserve"> </w:t>
      </w:r>
    </w:p>
    <w:p w:rsidR="00894759" w:rsidRPr="004B25BA" w:rsidRDefault="00894759" w:rsidP="00894759"/>
    <w:p w:rsidR="00E0271E" w:rsidRDefault="00E0271E" w:rsidP="00E0271E">
      <w:pPr>
        <w:rPr>
          <w:b/>
        </w:rPr>
      </w:pPr>
    </w:p>
    <w:p w:rsidR="00AD654C" w:rsidRDefault="00E0271E" w:rsidP="00E0271E">
      <w:pPr>
        <w:rPr>
          <w:b/>
        </w:rPr>
      </w:pPr>
      <w:r w:rsidRPr="00E0271E">
        <w:rPr>
          <w:b/>
        </w:rPr>
        <w:t>Conclusion</w:t>
      </w:r>
    </w:p>
    <w:p w:rsidR="00E0271E" w:rsidRDefault="00E0271E" w:rsidP="00E0271E">
      <w:pPr>
        <w:rPr>
          <w:b/>
        </w:rPr>
      </w:pPr>
    </w:p>
    <w:p w:rsidR="0055312C" w:rsidRDefault="0078595C" w:rsidP="00945606">
      <w:pPr>
        <w:ind w:firstLine="720"/>
      </w:pPr>
      <w:r>
        <w:t>This paper demonstrated why t</w:t>
      </w:r>
      <w:r w:rsidR="00054F65">
        <w:t xml:space="preserve">he 5-year </w:t>
      </w:r>
      <w:r w:rsidR="00370705">
        <w:t xml:space="preserve">ASEC </w:t>
      </w:r>
      <w:r w:rsidR="00054F65">
        <w:t>estimates and the 5-year multiyear</w:t>
      </w:r>
      <w:r w:rsidR="00A50F37">
        <w:t xml:space="preserve"> ACS</w:t>
      </w:r>
      <w:r w:rsidR="00054F65">
        <w:t xml:space="preserve"> estimates are not comparable. They represent two entirely d</w:t>
      </w:r>
      <w:r w:rsidR="00E63F33">
        <w:t>ifferent measures of migration. For historical trends or to look at migration over</w:t>
      </w:r>
      <w:r w:rsidR="00945606">
        <w:t xml:space="preserve"> a 5 years re</w:t>
      </w:r>
      <w:r w:rsidR="00B21E0D">
        <w:t>ference period, CPS/ASEC is the only option between the two.</w:t>
      </w:r>
      <w:r w:rsidR="00150FBF">
        <w:t xml:space="preserve"> </w:t>
      </w:r>
      <w:r w:rsidR="00992D11">
        <w:t xml:space="preserve">The 5-year </w:t>
      </w:r>
      <w:r w:rsidR="006A05F0">
        <w:t xml:space="preserve">multiyear </w:t>
      </w:r>
      <w:r w:rsidR="00992D11">
        <w:t>ACS estimates are better able to provide reliable migration estimates at lower levels of geography, track the mobility of group quarter residents, and create migration flow products.</w:t>
      </w:r>
      <w:r w:rsidR="0055312C">
        <w:br w:type="page"/>
      </w:r>
    </w:p>
    <w:p w:rsidR="0055312C" w:rsidRDefault="0055312C" w:rsidP="0055312C">
      <w:pPr>
        <w:ind w:firstLine="720"/>
        <w:jc w:val="center"/>
        <w:rPr>
          <w:b/>
        </w:rPr>
      </w:pPr>
      <w:r w:rsidRPr="0055312C">
        <w:rPr>
          <w:b/>
        </w:rPr>
        <w:lastRenderedPageBreak/>
        <w:t>References</w:t>
      </w:r>
    </w:p>
    <w:p w:rsidR="0055312C" w:rsidRDefault="0055312C" w:rsidP="0055312C">
      <w:pPr>
        <w:ind w:firstLine="720"/>
        <w:jc w:val="center"/>
        <w:rPr>
          <w:b/>
        </w:rPr>
      </w:pPr>
    </w:p>
    <w:p w:rsidR="00D44C8F" w:rsidRPr="00D44C8F" w:rsidRDefault="00D44C8F" w:rsidP="00D44C8F">
      <w:pPr>
        <w:rPr>
          <w:bCs/>
        </w:rPr>
      </w:pPr>
      <w:r>
        <w:t xml:space="preserve">Ihrke, David, William </w:t>
      </w:r>
      <w:proofErr w:type="spellStart"/>
      <w:r>
        <w:t>Koerber</w:t>
      </w:r>
      <w:proofErr w:type="spellEnd"/>
      <w:r>
        <w:t xml:space="preserve">, and Alison Fields. 2015. </w:t>
      </w:r>
      <w:r w:rsidRPr="00D44C8F">
        <w:rPr>
          <w:bCs/>
          <w:i/>
        </w:rPr>
        <w:t xml:space="preserve">Comparison of Migration Data: 2013 American Community Survey and 2013 Annual Social and Economic Supplement </w:t>
      </w:r>
      <w:r>
        <w:rPr>
          <w:bCs/>
          <w:i/>
        </w:rPr>
        <w:t xml:space="preserve">of the Current Population Survey. </w:t>
      </w:r>
      <w:r w:rsidR="00DA526A" w:rsidRPr="00DA526A">
        <w:rPr>
          <w:bCs/>
        </w:rPr>
        <w:t>SEHSD working paper 2015-21. U.S. Census Bureau, Washington, D.C.</w:t>
      </w:r>
      <w:r w:rsidR="00DA526A">
        <w:rPr>
          <w:bCs/>
          <w:i/>
        </w:rPr>
        <w:t xml:space="preserve"> </w:t>
      </w:r>
    </w:p>
    <w:p w:rsidR="00D44C8F" w:rsidRPr="00D44C8F" w:rsidRDefault="00D44C8F" w:rsidP="00D44C8F">
      <w:pPr>
        <w:rPr>
          <w:b/>
          <w:bCs/>
        </w:rPr>
      </w:pPr>
    </w:p>
    <w:p w:rsidR="00F90B95" w:rsidRDefault="00F90B95" w:rsidP="00F90B95">
      <w:r>
        <w:t>Ihrke, David K., Carol S Faber</w:t>
      </w:r>
      <w:r w:rsidR="00285838">
        <w:t>. 2012. Geographical Mobility: 2005 to 2010. Current Population Reports, P20-567. U.S. Census Bureau, Washington, D.C.</w:t>
      </w:r>
    </w:p>
    <w:p w:rsidR="00792915" w:rsidRDefault="00792915" w:rsidP="00F90B95"/>
    <w:p w:rsidR="00792915" w:rsidRDefault="00792915" w:rsidP="00792915">
      <w:r>
        <w:t xml:space="preserve">U.S. Census Bureau. 2008. </w:t>
      </w:r>
      <w:r w:rsidRPr="00F90B95">
        <w:rPr>
          <w:i/>
        </w:rPr>
        <w:t>A Compass for Understanding and Using American Community Survey Data: What General Data Users Need to Know.</w:t>
      </w:r>
      <w:r>
        <w:t xml:space="preserve"> Washington, D.C.: U.S. Government Printing Office. </w:t>
      </w:r>
    </w:p>
    <w:p w:rsidR="008036E6" w:rsidRDefault="008036E6" w:rsidP="00792915"/>
    <w:p w:rsidR="008036E6" w:rsidRPr="008036E6" w:rsidRDefault="008036E6" w:rsidP="008036E6">
      <w:r w:rsidRPr="008036E6">
        <w:t xml:space="preserve">U.S. Census Bureau. 2014. </w:t>
      </w:r>
      <w:r w:rsidRPr="008036E6">
        <w:rPr>
          <w:i/>
        </w:rPr>
        <w:t>American Community Survey Design and Methodology (January 2014)</w:t>
      </w:r>
      <w:r w:rsidR="0045193D">
        <w:t>.</w:t>
      </w:r>
      <w:r w:rsidRPr="008036E6">
        <w:t xml:space="preserve"> Washington, D.C.: U.S Government Printing Office.</w:t>
      </w:r>
    </w:p>
    <w:p w:rsidR="008036E6" w:rsidRDefault="008036E6" w:rsidP="00792915"/>
    <w:p w:rsidR="00EA4A66" w:rsidRDefault="00E71688" w:rsidP="00F90B95">
      <w:pPr>
        <w:sectPr w:rsidR="00EA4A66" w:rsidSect="00EE76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0"/>
          <w:cols w:space="720"/>
          <w:titlePg/>
          <w:docGrid w:linePitch="360"/>
        </w:sectPr>
      </w:pPr>
      <w:r>
        <w:t xml:space="preserve">U.S. Census Bureau. 2015. </w:t>
      </w:r>
      <w:r w:rsidR="00846079">
        <w:rPr>
          <w:i/>
        </w:rPr>
        <w:t>Current Population Survey,</w:t>
      </w:r>
      <w:r w:rsidRPr="00E71688">
        <w:rPr>
          <w:i/>
        </w:rPr>
        <w:t xml:space="preserve"> 2015 Technical Documentation</w:t>
      </w:r>
      <w:r>
        <w:t>.</w:t>
      </w:r>
      <w:r w:rsidR="006B2D9E">
        <w:t xml:space="preserve"> Washington, D.C.</w:t>
      </w:r>
    </w:p>
    <w:p w:rsidR="00EA4A66" w:rsidRDefault="003D3E6B" w:rsidP="00F90B95">
      <w:r>
        <w:rPr>
          <w:noProof/>
        </w:rPr>
        <w:lastRenderedPageBreak/>
        <w:drawing>
          <wp:inline distT="0" distB="0" distL="0" distR="0" wp14:anchorId="343AFBE5">
            <wp:extent cx="8663305" cy="629793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3305" cy="6297930"/>
                    </a:xfrm>
                    <a:prstGeom prst="rect">
                      <a:avLst/>
                    </a:prstGeom>
                    <a:noFill/>
                  </pic:spPr>
                </pic:pic>
              </a:graphicData>
            </a:graphic>
          </wp:inline>
        </w:drawing>
      </w:r>
    </w:p>
    <w:p w:rsidR="00792915" w:rsidRDefault="00792915" w:rsidP="00F90B95"/>
    <w:p w:rsidR="00800C1A" w:rsidRDefault="00800C1A" w:rsidP="00F90B95"/>
    <w:p w:rsidR="00800C1A" w:rsidRDefault="00800C1A" w:rsidP="00F90B95"/>
    <w:p w:rsidR="00800C1A" w:rsidRDefault="00800C1A" w:rsidP="00F90B95"/>
    <w:p w:rsidR="00800C1A" w:rsidRDefault="00800C1A" w:rsidP="00F90B95"/>
    <w:p w:rsidR="00800C1A" w:rsidRDefault="00800C1A" w:rsidP="00F90B95"/>
    <w:p w:rsidR="00800C1A" w:rsidRDefault="00800C1A" w:rsidP="00F90B95"/>
    <w:tbl>
      <w:tblPr>
        <w:tblW w:w="9481" w:type="dxa"/>
        <w:tblInd w:w="1747" w:type="dxa"/>
        <w:tblLook w:val="04A0" w:firstRow="1" w:lastRow="0" w:firstColumn="1" w:lastColumn="0" w:noHBand="0" w:noVBand="1"/>
      </w:tblPr>
      <w:tblGrid>
        <w:gridCol w:w="1910"/>
        <w:gridCol w:w="817"/>
        <w:gridCol w:w="817"/>
        <w:gridCol w:w="817"/>
        <w:gridCol w:w="960"/>
        <w:gridCol w:w="960"/>
        <w:gridCol w:w="1960"/>
        <w:gridCol w:w="1240"/>
      </w:tblGrid>
      <w:tr w:rsidR="006B2D9E" w:rsidRPr="00902CA3" w:rsidTr="00FC716E">
        <w:trPr>
          <w:trHeight w:val="300"/>
        </w:trPr>
        <w:tc>
          <w:tcPr>
            <w:tcW w:w="4361" w:type="dxa"/>
            <w:gridSpan w:val="4"/>
            <w:tcBorders>
              <w:top w:val="nil"/>
              <w:left w:val="nil"/>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bookmarkStart w:id="1" w:name="RANGE!A1:H7"/>
            <w:r w:rsidRPr="00902CA3">
              <w:rPr>
                <w:rFonts w:ascii="Calibri" w:hAnsi="Calibri"/>
                <w:color w:val="000000"/>
                <w:sz w:val="22"/>
                <w:szCs w:val="22"/>
              </w:rPr>
              <w:t>Table 1. Hypothetical Mover Rates by Year</w:t>
            </w:r>
            <w:bookmarkEnd w:id="1"/>
          </w:p>
        </w:tc>
        <w:tc>
          <w:tcPr>
            <w:tcW w:w="960" w:type="dxa"/>
            <w:tcBorders>
              <w:top w:val="nil"/>
              <w:left w:val="nil"/>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p>
        </w:tc>
        <w:tc>
          <w:tcPr>
            <w:tcW w:w="1960" w:type="dxa"/>
            <w:tcBorders>
              <w:top w:val="nil"/>
              <w:left w:val="nil"/>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p>
        </w:tc>
      </w:tr>
      <w:tr w:rsidR="006B2D9E" w:rsidRPr="00902CA3" w:rsidTr="00FC716E">
        <w:trPr>
          <w:trHeight w:val="765"/>
        </w:trPr>
        <w:tc>
          <w:tcPr>
            <w:tcW w:w="1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2D9E" w:rsidRPr="00902CA3" w:rsidRDefault="006B2D9E" w:rsidP="00FC716E">
            <w:pPr>
              <w:rPr>
                <w:rFonts w:ascii="Calibri" w:hAnsi="Calibri"/>
                <w:color w:val="000000"/>
                <w:sz w:val="22"/>
                <w:szCs w:val="22"/>
              </w:rPr>
            </w:pPr>
            <w:r w:rsidRPr="00902CA3">
              <w:rPr>
                <w:rFonts w:ascii="Calibri" w:hAnsi="Calibri"/>
                <w:color w:val="000000"/>
                <w:sz w:val="22"/>
                <w:szCs w:val="22"/>
              </w:rPr>
              <w:t>Migration Data</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6B2D9E" w:rsidRPr="00902CA3" w:rsidRDefault="006B2D9E" w:rsidP="00FC716E">
            <w:pPr>
              <w:jc w:val="center"/>
              <w:rPr>
                <w:rFonts w:ascii="Calibri" w:hAnsi="Calibri"/>
                <w:color w:val="000000"/>
                <w:sz w:val="22"/>
                <w:szCs w:val="22"/>
              </w:rPr>
            </w:pPr>
            <w:r w:rsidRPr="00902CA3">
              <w:rPr>
                <w:rFonts w:ascii="Calibri" w:hAnsi="Calibri"/>
                <w:color w:val="000000"/>
                <w:sz w:val="22"/>
                <w:szCs w:val="22"/>
              </w:rPr>
              <w:t>Year 1</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6B2D9E" w:rsidRPr="00902CA3" w:rsidRDefault="006B2D9E" w:rsidP="00FC716E">
            <w:pPr>
              <w:jc w:val="center"/>
              <w:rPr>
                <w:rFonts w:ascii="Calibri" w:hAnsi="Calibri"/>
                <w:color w:val="000000"/>
                <w:sz w:val="22"/>
                <w:szCs w:val="22"/>
              </w:rPr>
            </w:pPr>
            <w:r w:rsidRPr="00902CA3">
              <w:rPr>
                <w:rFonts w:ascii="Calibri" w:hAnsi="Calibri"/>
                <w:color w:val="000000"/>
                <w:sz w:val="22"/>
                <w:szCs w:val="22"/>
              </w:rPr>
              <w:t>Year 2</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6B2D9E" w:rsidRPr="00902CA3" w:rsidRDefault="006B2D9E" w:rsidP="00FC716E">
            <w:pPr>
              <w:jc w:val="center"/>
              <w:rPr>
                <w:rFonts w:ascii="Calibri" w:hAnsi="Calibri"/>
                <w:color w:val="000000"/>
                <w:sz w:val="22"/>
                <w:szCs w:val="22"/>
              </w:rPr>
            </w:pPr>
            <w:r w:rsidRPr="00902CA3">
              <w:rPr>
                <w:rFonts w:ascii="Calibri" w:hAnsi="Calibri"/>
                <w:color w:val="000000"/>
                <w:sz w:val="22"/>
                <w:szCs w:val="22"/>
              </w:rPr>
              <w:t>Year 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B2D9E" w:rsidRPr="00902CA3" w:rsidRDefault="006B2D9E" w:rsidP="00FC716E">
            <w:pPr>
              <w:jc w:val="center"/>
              <w:rPr>
                <w:rFonts w:ascii="Calibri" w:hAnsi="Calibri"/>
                <w:color w:val="000000"/>
                <w:sz w:val="22"/>
                <w:szCs w:val="22"/>
              </w:rPr>
            </w:pPr>
            <w:r w:rsidRPr="00902CA3">
              <w:rPr>
                <w:rFonts w:ascii="Calibri" w:hAnsi="Calibri"/>
                <w:color w:val="000000"/>
                <w:sz w:val="22"/>
                <w:szCs w:val="22"/>
              </w:rPr>
              <w:t>Year 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B2D9E" w:rsidRPr="00902CA3" w:rsidRDefault="006B2D9E" w:rsidP="00FC716E">
            <w:pPr>
              <w:jc w:val="center"/>
              <w:rPr>
                <w:rFonts w:ascii="Calibri" w:hAnsi="Calibri"/>
                <w:color w:val="000000"/>
                <w:sz w:val="22"/>
                <w:szCs w:val="22"/>
              </w:rPr>
            </w:pPr>
            <w:r w:rsidRPr="00902CA3">
              <w:rPr>
                <w:rFonts w:ascii="Calibri" w:hAnsi="Calibri"/>
                <w:color w:val="000000"/>
                <w:sz w:val="22"/>
                <w:szCs w:val="22"/>
              </w:rPr>
              <w:t>Year 5</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6B2D9E" w:rsidRPr="00902CA3" w:rsidRDefault="006B2D9E" w:rsidP="00FC716E">
            <w:pPr>
              <w:jc w:val="center"/>
              <w:rPr>
                <w:rFonts w:ascii="Calibri" w:hAnsi="Calibri"/>
                <w:color w:val="000000"/>
                <w:sz w:val="22"/>
                <w:szCs w:val="22"/>
              </w:rPr>
            </w:pPr>
            <w:r w:rsidRPr="00902CA3">
              <w:rPr>
                <w:rFonts w:ascii="Calibri" w:hAnsi="Calibri"/>
                <w:color w:val="000000"/>
                <w:sz w:val="22"/>
                <w:szCs w:val="22"/>
              </w:rPr>
              <w:t>Five-Year Multiyear Estimate</w:t>
            </w:r>
          </w:p>
        </w:tc>
        <w:tc>
          <w:tcPr>
            <w:tcW w:w="1240" w:type="dxa"/>
            <w:tcBorders>
              <w:top w:val="single" w:sz="4" w:space="0" w:color="auto"/>
              <w:left w:val="nil"/>
              <w:bottom w:val="nil"/>
              <w:right w:val="single" w:sz="4" w:space="0" w:color="auto"/>
            </w:tcBorders>
            <w:shd w:val="clear" w:color="auto" w:fill="auto"/>
            <w:vAlign w:val="bottom"/>
            <w:hideMark/>
          </w:tcPr>
          <w:p w:rsidR="006B2D9E" w:rsidRPr="00902CA3" w:rsidRDefault="006B2D9E" w:rsidP="00FC716E">
            <w:pPr>
              <w:jc w:val="center"/>
              <w:rPr>
                <w:rFonts w:ascii="Calibri" w:hAnsi="Calibri"/>
                <w:color w:val="000000"/>
                <w:sz w:val="22"/>
                <w:szCs w:val="22"/>
              </w:rPr>
            </w:pPr>
            <w:r w:rsidRPr="00902CA3">
              <w:rPr>
                <w:rFonts w:ascii="Calibri" w:hAnsi="Calibri"/>
                <w:color w:val="000000"/>
                <w:sz w:val="22"/>
                <w:szCs w:val="22"/>
              </w:rPr>
              <w:t>Five-Year Estimate</w:t>
            </w:r>
          </w:p>
        </w:tc>
      </w:tr>
      <w:tr w:rsidR="006B2D9E" w:rsidRPr="00902CA3" w:rsidTr="00FC716E">
        <w:trPr>
          <w:trHeight w:val="300"/>
        </w:trPr>
        <w:tc>
          <w:tcPr>
            <w:tcW w:w="1910" w:type="dxa"/>
            <w:tcBorders>
              <w:top w:val="nil"/>
              <w:left w:val="single" w:sz="4" w:space="0" w:color="auto"/>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r w:rsidRPr="00902CA3">
              <w:rPr>
                <w:rFonts w:ascii="Calibri" w:hAnsi="Calibri"/>
                <w:color w:val="000000"/>
                <w:sz w:val="22"/>
                <w:szCs w:val="22"/>
              </w:rPr>
              <w:t>ACS 1-year</w:t>
            </w:r>
          </w:p>
        </w:tc>
        <w:tc>
          <w:tcPr>
            <w:tcW w:w="817" w:type="dxa"/>
            <w:tcBorders>
              <w:top w:val="nil"/>
              <w:left w:val="single" w:sz="4" w:space="0" w:color="auto"/>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15</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15</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20</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18</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15</w:t>
            </w:r>
          </w:p>
        </w:tc>
        <w:tc>
          <w:tcPr>
            <w:tcW w:w="1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1240" w:type="dxa"/>
            <w:tcBorders>
              <w:top w:val="single" w:sz="4" w:space="0" w:color="auto"/>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r>
      <w:tr w:rsidR="006B2D9E" w:rsidRPr="00902CA3" w:rsidTr="00FC716E">
        <w:trPr>
          <w:trHeight w:val="300"/>
        </w:trPr>
        <w:tc>
          <w:tcPr>
            <w:tcW w:w="1910" w:type="dxa"/>
            <w:tcBorders>
              <w:top w:val="nil"/>
              <w:left w:val="single" w:sz="4" w:space="0" w:color="auto"/>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r w:rsidRPr="00902CA3">
              <w:rPr>
                <w:rFonts w:ascii="Calibri" w:hAnsi="Calibri"/>
                <w:color w:val="000000"/>
                <w:sz w:val="22"/>
                <w:szCs w:val="22"/>
              </w:rPr>
              <w:t xml:space="preserve">ACS 5-year </w:t>
            </w:r>
          </w:p>
        </w:tc>
        <w:tc>
          <w:tcPr>
            <w:tcW w:w="817" w:type="dxa"/>
            <w:tcBorders>
              <w:top w:val="nil"/>
              <w:left w:val="single" w:sz="4" w:space="0" w:color="auto"/>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1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16.6</w:t>
            </w:r>
          </w:p>
        </w:tc>
        <w:tc>
          <w:tcPr>
            <w:tcW w:w="124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r>
      <w:tr w:rsidR="006B2D9E" w:rsidRPr="00902CA3" w:rsidTr="00FC716E">
        <w:trPr>
          <w:trHeight w:val="300"/>
        </w:trPr>
        <w:tc>
          <w:tcPr>
            <w:tcW w:w="1910" w:type="dxa"/>
            <w:tcBorders>
              <w:top w:val="nil"/>
              <w:left w:val="single" w:sz="4" w:space="0" w:color="auto"/>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r w:rsidRPr="00902CA3">
              <w:rPr>
                <w:rFonts w:ascii="Calibri" w:hAnsi="Calibri"/>
                <w:color w:val="000000"/>
                <w:sz w:val="22"/>
                <w:szCs w:val="22"/>
              </w:rPr>
              <w:t> </w:t>
            </w:r>
          </w:p>
        </w:tc>
        <w:tc>
          <w:tcPr>
            <w:tcW w:w="817" w:type="dxa"/>
            <w:tcBorders>
              <w:top w:val="nil"/>
              <w:left w:val="single" w:sz="4" w:space="0" w:color="auto"/>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 </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 </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 </w:t>
            </w:r>
          </w:p>
        </w:tc>
        <w:tc>
          <w:tcPr>
            <w:tcW w:w="1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 </w:t>
            </w:r>
          </w:p>
        </w:tc>
        <w:tc>
          <w:tcPr>
            <w:tcW w:w="124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 </w:t>
            </w:r>
          </w:p>
        </w:tc>
      </w:tr>
      <w:tr w:rsidR="006B2D9E" w:rsidRPr="00902CA3" w:rsidTr="00FC716E">
        <w:trPr>
          <w:trHeight w:val="300"/>
        </w:trPr>
        <w:tc>
          <w:tcPr>
            <w:tcW w:w="1910" w:type="dxa"/>
            <w:tcBorders>
              <w:top w:val="nil"/>
              <w:left w:val="single" w:sz="4" w:space="0" w:color="auto"/>
              <w:bottom w:val="nil"/>
              <w:right w:val="nil"/>
            </w:tcBorders>
            <w:shd w:val="clear" w:color="auto" w:fill="auto"/>
            <w:noWrap/>
            <w:vAlign w:val="bottom"/>
            <w:hideMark/>
          </w:tcPr>
          <w:p w:rsidR="006B2D9E" w:rsidRPr="00902CA3" w:rsidRDefault="006B2D9E" w:rsidP="00FC716E">
            <w:pPr>
              <w:rPr>
                <w:rFonts w:ascii="Calibri" w:hAnsi="Calibri"/>
                <w:color w:val="000000"/>
                <w:sz w:val="22"/>
                <w:szCs w:val="22"/>
              </w:rPr>
            </w:pPr>
            <w:r w:rsidRPr="00902CA3">
              <w:rPr>
                <w:rFonts w:ascii="Calibri" w:hAnsi="Calibri"/>
                <w:color w:val="000000"/>
                <w:sz w:val="22"/>
                <w:szCs w:val="22"/>
              </w:rPr>
              <w:t>ASEC 1-year</w:t>
            </w:r>
          </w:p>
        </w:tc>
        <w:tc>
          <w:tcPr>
            <w:tcW w:w="817" w:type="dxa"/>
            <w:tcBorders>
              <w:top w:val="nil"/>
              <w:left w:val="single" w:sz="4" w:space="0" w:color="auto"/>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12</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12</w:t>
            </w:r>
          </w:p>
        </w:tc>
        <w:tc>
          <w:tcPr>
            <w:tcW w:w="817"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16</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14</w:t>
            </w:r>
          </w:p>
        </w:tc>
        <w:tc>
          <w:tcPr>
            <w:tcW w:w="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12</w:t>
            </w:r>
          </w:p>
        </w:tc>
        <w:tc>
          <w:tcPr>
            <w:tcW w:w="196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1240" w:type="dxa"/>
            <w:tcBorders>
              <w:top w:val="nil"/>
              <w:left w:val="nil"/>
              <w:bottom w:val="nil"/>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r>
      <w:tr w:rsidR="006B2D9E" w:rsidRPr="00902CA3" w:rsidTr="00FC716E">
        <w:trPr>
          <w:trHeight w:val="300"/>
        </w:trPr>
        <w:tc>
          <w:tcPr>
            <w:tcW w:w="1910" w:type="dxa"/>
            <w:tcBorders>
              <w:top w:val="nil"/>
              <w:left w:val="single" w:sz="4" w:space="0" w:color="auto"/>
              <w:bottom w:val="single" w:sz="4" w:space="0" w:color="auto"/>
              <w:right w:val="nil"/>
            </w:tcBorders>
            <w:shd w:val="clear" w:color="auto" w:fill="auto"/>
            <w:noWrap/>
            <w:vAlign w:val="bottom"/>
            <w:hideMark/>
          </w:tcPr>
          <w:p w:rsidR="006B2D9E" w:rsidRPr="00902CA3" w:rsidRDefault="006B2D9E" w:rsidP="00FC716E">
            <w:pPr>
              <w:rPr>
                <w:rFonts w:ascii="Calibri" w:hAnsi="Calibri"/>
                <w:color w:val="000000"/>
                <w:sz w:val="22"/>
                <w:szCs w:val="22"/>
              </w:rPr>
            </w:pPr>
            <w:r w:rsidRPr="00902CA3">
              <w:rPr>
                <w:rFonts w:ascii="Calibri" w:hAnsi="Calibri"/>
                <w:color w:val="000000"/>
                <w:sz w:val="22"/>
                <w:szCs w:val="22"/>
              </w:rPr>
              <w:t>ASEC 5-year</w:t>
            </w:r>
          </w:p>
        </w:tc>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817" w:type="dxa"/>
            <w:tcBorders>
              <w:top w:val="nil"/>
              <w:left w:val="nil"/>
              <w:bottom w:val="single" w:sz="4" w:space="0" w:color="auto"/>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817" w:type="dxa"/>
            <w:tcBorders>
              <w:top w:val="nil"/>
              <w:left w:val="nil"/>
              <w:bottom w:val="single" w:sz="4" w:space="0" w:color="auto"/>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1960" w:type="dxa"/>
            <w:tcBorders>
              <w:top w:val="nil"/>
              <w:left w:val="nil"/>
              <w:bottom w:val="single" w:sz="4" w:space="0" w:color="auto"/>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w:t>
            </w:r>
          </w:p>
        </w:tc>
        <w:tc>
          <w:tcPr>
            <w:tcW w:w="1240" w:type="dxa"/>
            <w:tcBorders>
              <w:top w:val="nil"/>
              <w:left w:val="nil"/>
              <w:bottom w:val="single" w:sz="4" w:space="0" w:color="auto"/>
              <w:right w:val="single" w:sz="4" w:space="0" w:color="auto"/>
            </w:tcBorders>
            <w:shd w:val="clear" w:color="auto" w:fill="auto"/>
            <w:noWrap/>
            <w:vAlign w:val="bottom"/>
            <w:hideMark/>
          </w:tcPr>
          <w:p w:rsidR="006B2D9E" w:rsidRPr="00902CA3" w:rsidRDefault="006B2D9E" w:rsidP="00FC716E">
            <w:pPr>
              <w:jc w:val="right"/>
              <w:rPr>
                <w:rFonts w:ascii="Calibri" w:hAnsi="Calibri"/>
                <w:color w:val="000000"/>
                <w:sz w:val="22"/>
                <w:szCs w:val="22"/>
              </w:rPr>
            </w:pPr>
            <w:r w:rsidRPr="00902CA3">
              <w:rPr>
                <w:rFonts w:ascii="Calibri" w:hAnsi="Calibri"/>
                <w:color w:val="000000"/>
                <w:sz w:val="22"/>
                <w:szCs w:val="22"/>
              </w:rPr>
              <w:t>33</w:t>
            </w:r>
          </w:p>
        </w:tc>
      </w:tr>
      <w:tr w:rsidR="006B2D9E" w:rsidRPr="00902CA3" w:rsidTr="00FC716E">
        <w:trPr>
          <w:trHeight w:val="615"/>
        </w:trPr>
        <w:tc>
          <w:tcPr>
            <w:tcW w:w="9481" w:type="dxa"/>
            <w:gridSpan w:val="8"/>
            <w:tcBorders>
              <w:top w:val="single" w:sz="4" w:space="0" w:color="auto"/>
              <w:left w:val="nil"/>
              <w:bottom w:val="nil"/>
              <w:right w:val="nil"/>
            </w:tcBorders>
            <w:shd w:val="clear" w:color="auto" w:fill="auto"/>
            <w:vAlign w:val="bottom"/>
            <w:hideMark/>
          </w:tcPr>
          <w:p w:rsidR="006B2D9E" w:rsidRPr="00902CA3" w:rsidRDefault="006B2D9E" w:rsidP="00FC716E">
            <w:pPr>
              <w:rPr>
                <w:rFonts w:ascii="Calibri" w:hAnsi="Calibri"/>
                <w:color w:val="000000"/>
                <w:sz w:val="22"/>
                <w:szCs w:val="22"/>
              </w:rPr>
            </w:pPr>
            <w:r w:rsidRPr="00902CA3">
              <w:rPr>
                <w:rFonts w:ascii="Calibri" w:hAnsi="Calibri"/>
                <w:color w:val="000000"/>
                <w:sz w:val="22"/>
                <w:szCs w:val="22"/>
              </w:rPr>
              <w:t xml:space="preserve">Sources: U.S. Census Bureau, American Community Survey, Current Population Survey, Annual Social and Economic Supplement. </w:t>
            </w:r>
          </w:p>
        </w:tc>
      </w:tr>
    </w:tbl>
    <w:p w:rsidR="005123A2" w:rsidRDefault="005123A2" w:rsidP="00F90B95">
      <w:r>
        <w:br w:type="page"/>
      </w:r>
    </w:p>
    <w:p w:rsidR="005123A2" w:rsidRPr="0055312C" w:rsidRDefault="00902CA3" w:rsidP="00F90B95">
      <w:r>
        <w:rPr>
          <w:noProof/>
        </w:rPr>
        <w:lastRenderedPageBreak/>
        <w:drawing>
          <wp:inline distT="0" distB="0" distL="0" distR="0" wp14:anchorId="15F3FB64">
            <wp:extent cx="8704975" cy="58102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05850" cy="5810834"/>
                    </a:xfrm>
                    <a:prstGeom prst="rect">
                      <a:avLst/>
                    </a:prstGeom>
                    <a:noFill/>
                  </pic:spPr>
                </pic:pic>
              </a:graphicData>
            </a:graphic>
          </wp:inline>
        </w:drawing>
      </w:r>
    </w:p>
    <w:sectPr w:rsidR="005123A2" w:rsidRPr="0055312C" w:rsidSect="00EA4A6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A7E" w:rsidRDefault="00A54A7E" w:rsidP="001D3D52">
      <w:r>
        <w:separator/>
      </w:r>
    </w:p>
  </w:endnote>
  <w:endnote w:type="continuationSeparator" w:id="0">
    <w:p w:rsidR="00A54A7E" w:rsidRDefault="00A54A7E" w:rsidP="001D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7E" w:rsidRDefault="00A54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92900"/>
      <w:docPartObj>
        <w:docPartGallery w:val="Page Numbers (Bottom of Page)"/>
        <w:docPartUnique/>
      </w:docPartObj>
    </w:sdtPr>
    <w:sdtEndPr>
      <w:rPr>
        <w:noProof/>
      </w:rPr>
    </w:sdtEndPr>
    <w:sdtContent>
      <w:p w:rsidR="00A54A7E" w:rsidRDefault="00A54A7E">
        <w:pPr>
          <w:pStyle w:val="Footer"/>
          <w:jc w:val="right"/>
        </w:pPr>
        <w:r>
          <w:fldChar w:fldCharType="begin"/>
        </w:r>
        <w:r>
          <w:instrText xml:space="preserve"> PAGE   \* MERGEFORMAT </w:instrText>
        </w:r>
        <w:r>
          <w:fldChar w:fldCharType="separate"/>
        </w:r>
        <w:r w:rsidR="00177B64">
          <w:rPr>
            <w:noProof/>
          </w:rPr>
          <w:t>8</w:t>
        </w:r>
        <w:r>
          <w:rPr>
            <w:noProof/>
          </w:rPr>
          <w:fldChar w:fldCharType="end"/>
        </w:r>
      </w:p>
    </w:sdtContent>
  </w:sdt>
  <w:p w:rsidR="00A54A7E" w:rsidRDefault="00A54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7E" w:rsidRDefault="00A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A7E" w:rsidRDefault="00A54A7E" w:rsidP="001D3D52">
      <w:r>
        <w:separator/>
      </w:r>
    </w:p>
  </w:footnote>
  <w:footnote w:type="continuationSeparator" w:id="0">
    <w:p w:rsidR="00A54A7E" w:rsidRDefault="00A54A7E" w:rsidP="001D3D52">
      <w:r>
        <w:continuationSeparator/>
      </w:r>
    </w:p>
  </w:footnote>
  <w:footnote w:id="1">
    <w:p w:rsidR="00A54A7E" w:rsidRDefault="00A54A7E">
      <w:pPr>
        <w:pStyle w:val="FootnoteText"/>
      </w:pPr>
      <w:r>
        <w:rPr>
          <w:rStyle w:val="FootnoteReference"/>
        </w:rPr>
        <w:footnoteRef/>
      </w:r>
      <w:r>
        <w:t xml:space="preserve"> </w:t>
      </w:r>
      <w:r w:rsidRPr="00586B25">
        <w:t>This paper reports the results of research and analysis undertaken by U</w:t>
      </w:r>
      <w:r>
        <w:t>.</w:t>
      </w:r>
      <w:r w:rsidRPr="00586B25">
        <w:t>S</w:t>
      </w:r>
      <w:r>
        <w:t>.</w:t>
      </w:r>
      <w:r w:rsidRPr="00586B25">
        <w:t xml:space="preserve"> Census Bureau staff. It has undergone more limited review than official publications and is released to inform interested parties of ongoing research and to encourage discussion of work in progress. Any views ex</w:t>
      </w:r>
      <w:r>
        <w:t>pressed are those of the author</w:t>
      </w:r>
      <w:r w:rsidRPr="00586B25">
        <w:t xml:space="preserve"> and not necessarily those of the U.S. Census Bureau.</w:t>
      </w:r>
    </w:p>
  </w:footnote>
  <w:footnote w:id="2">
    <w:p w:rsidR="00A54A7E" w:rsidRDefault="00A54A7E">
      <w:pPr>
        <w:pStyle w:val="FootnoteText"/>
      </w:pPr>
      <w:r>
        <w:rPr>
          <w:rStyle w:val="FootnoteReference"/>
        </w:rPr>
        <w:footnoteRef/>
      </w:r>
      <w:r>
        <w:t xml:space="preserve"> Comparable meaning they ask similar one-year migration questions and produce similar one-year migration estimates.  </w:t>
      </w:r>
    </w:p>
  </w:footnote>
  <w:footnote w:id="3">
    <w:p w:rsidR="00A54A7E" w:rsidRDefault="00A54A7E">
      <w:pPr>
        <w:pStyle w:val="FootnoteText"/>
      </w:pPr>
      <w:r>
        <w:rPr>
          <w:rStyle w:val="FootnoteReference"/>
        </w:rPr>
        <w:footnoteRef/>
      </w:r>
      <w:r>
        <w:t xml:space="preserve"> For a general overview of why the rates differ, see the “Comparison of Migration Data: 2013 American Community Survey and 2013 Annual Social and Economic Supplement of the Current Population Survey” working paper, available at </w:t>
      </w:r>
      <w:hyperlink r:id="rId1" w:history="1">
        <w:r w:rsidRPr="00C5263F">
          <w:rPr>
            <w:rStyle w:val="Hyperlink"/>
          </w:rPr>
          <w:t>http://www.census.gov/library/working-papers/2015/demo/SEHSD-WP2015-21.html</w:t>
        </w:r>
      </w:hyperlink>
      <w:r>
        <w:t xml:space="preserve">. </w:t>
      </w:r>
    </w:p>
  </w:footnote>
  <w:footnote w:id="4">
    <w:p w:rsidR="00A54A7E" w:rsidRDefault="00A54A7E">
      <w:pPr>
        <w:pStyle w:val="FootnoteText"/>
      </w:pPr>
      <w:r>
        <w:rPr>
          <w:rStyle w:val="FootnoteReference"/>
        </w:rPr>
        <w:footnoteRef/>
      </w:r>
      <w:r>
        <w:t xml:space="preserve"> The March Supplement of the CPS changed its name to the Annual Social and Economic Supplement (ASEC) after the State Children’s Health Insurance Program (SCHIP) expanded the survey months to include February and April around 2002. For more information, see the 2015 ASEC technical documentation, available at </w:t>
      </w:r>
      <w:hyperlink r:id="rId2" w:history="1">
        <w:r w:rsidRPr="002B71BE">
          <w:rPr>
            <w:rStyle w:val="Hyperlink"/>
          </w:rPr>
          <w:t>http://www2.census.gov/programs-surveys/cps/techdocs/cpsmar15.pdf</w:t>
        </w:r>
      </w:hyperlink>
      <w:r>
        <w:t xml:space="preserve">. </w:t>
      </w:r>
    </w:p>
  </w:footnote>
  <w:footnote w:id="5">
    <w:p w:rsidR="00A54A7E" w:rsidRDefault="00A54A7E">
      <w:pPr>
        <w:pStyle w:val="FootnoteText"/>
      </w:pPr>
      <w:r>
        <w:rPr>
          <w:rStyle w:val="FootnoteReference"/>
        </w:rPr>
        <w:footnoteRef/>
      </w:r>
      <w:r>
        <w:t xml:space="preserve"> For more information on the test and design phases, see Chapter 2 of the Design and Methodology Report, available at </w:t>
      </w:r>
      <w:hyperlink r:id="rId3" w:history="1">
        <w:r w:rsidRPr="006A0E7A">
          <w:rPr>
            <w:rStyle w:val="Hyperlink"/>
          </w:rPr>
          <w:t>http://www.census.gov/programs-surveys/acs/methodology/design-and-methodology.html</w:t>
        </w:r>
      </w:hyperlink>
      <w:r>
        <w:t xml:space="preserve">. </w:t>
      </w:r>
    </w:p>
  </w:footnote>
  <w:footnote w:id="6">
    <w:p w:rsidR="00A54A7E" w:rsidRDefault="00A54A7E">
      <w:pPr>
        <w:pStyle w:val="FootnoteText"/>
      </w:pPr>
      <w:r>
        <w:rPr>
          <w:rStyle w:val="FootnoteReference"/>
        </w:rPr>
        <w:footnoteRef/>
      </w:r>
      <w:r>
        <w:t xml:space="preserve"> Additional information regarding single-year and multiyear estimates is available in the document “What General Data Users Need to Know,” available at </w:t>
      </w:r>
      <w:hyperlink r:id="rId4" w:history="1">
        <w:r w:rsidRPr="002B71BE">
          <w:rPr>
            <w:rStyle w:val="Hyperlink"/>
          </w:rPr>
          <w:t>http://www.census.gov/content/dam/Census/library/publications/2008/acs/ACSGeneralHandbook.pdf</w:t>
        </w:r>
      </w:hyperlink>
      <w:r>
        <w:t xml:space="preserve">. </w:t>
      </w:r>
    </w:p>
  </w:footnote>
  <w:footnote w:id="7">
    <w:p w:rsidR="00A54A7E" w:rsidRDefault="00A54A7E">
      <w:pPr>
        <w:pStyle w:val="FootnoteText"/>
      </w:pPr>
      <w:r>
        <w:rPr>
          <w:rStyle w:val="FootnoteReference"/>
        </w:rPr>
        <w:footnoteRef/>
      </w:r>
      <w:r>
        <w:t xml:space="preserve"> The creation of the multiyear datasets  involves updating </w:t>
      </w:r>
      <w:r w:rsidR="002E5912">
        <w:t xml:space="preserve">the </w:t>
      </w:r>
      <w:r>
        <w:t xml:space="preserve">vintage of geography to the current year, bridging migration geographies to the current year, and updating or </w:t>
      </w:r>
      <w:proofErr w:type="spellStart"/>
      <w:r>
        <w:t>crosswalking</w:t>
      </w:r>
      <w:proofErr w:type="spellEnd"/>
      <w:r>
        <w:t xml:space="preserve"> other variables, such as inflation factors. Methodological changes and improvements are also incorporated. More information about multiyear processing is available in chapter 10 of the Design and </w:t>
      </w:r>
      <w:proofErr w:type="spellStart"/>
      <w:r>
        <w:t>Metholodogy</w:t>
      </w:r>
      <w:proofErr w:type="spellEnd"/>
      <w:r>
        <w:t xml:space="preserve"> report, available at </w:t>
      </w:r>
      <w:hyperlink r:id="rId5" w:history="1">
        <w:r w:rsidRPr="006A0E7A">
          <w:rPr>
            <w:rStyle w:val="Hyperlink"/>
          </w:rPr>
          <w:t>http://www.census.gov/programs-surveys/acs/methodology/design-and-methodology.html</w:t>
        </w:r>
      </w:hyperlink>
      <w:r>
        <w:t xml:space="preserve">.  </w:t>
      </w:r>
    </w:p>
  </w:footnote>
  <w:footnote w:id="8">
    <w:p w:rsidR="00A54A7E" w:rsidRDefault="00A54A7E">
      <w:pPr>
        <w:pStyle w:val="FootnoteText"/>
      </w:pPr>
      <w:r>
        <w:rPr>
          <w:rStyle w:val="FootnoteReference"/>
        </w:rPr>
        <w:footnoteRef/>
      </w:r>
      <w:r>
        <w:t xml:space="preserve"> The 1-year and 5-year estimates for the percent who moved within the same county were not significantly different. </w:t>
      </w:r>
    </w:p>
  </w:footnote>
  <w:footnote w:id="9">
    <w:p w:rsidR="00A54A7E" w:rsidRDefault="00A54A7E">
      <w:pPr>
        <w:pStyle w:val="FootnoteText"/>
      </w:pPr>
      <w:r>
        <w:rPr>
          <w:rStyle w:val="FootnoteReference"/>
        </w:rPr>
        <w:footnoteRef/>
      </w:r>
      <w:r>
        <w:t xml:space="preserve"> The population universe for the ACS migration question was the population 1 year and over. </w:t>
      </w:r>
    </w:p>
  </w:footnote>
  <w:footnote w:id="10">
    <w:p w:rsidR="00A54A7E" w:rsidRDefault="00A54A7E">
      <w:pPr>
        <w:pStyle w:val="FootnoteText"/>
      </w:pPr>
      <w:r>
        <w:rPr>
          <w:rStyle w:val="FootnoteReference"/>
        </w:rPr>
        <w:footnoteRef/>
      </w:r>
      <w:r>
        <w:t xml:space="preserve"> For additional information, see the appendix of the report “Geographical Mobility: 2005 to 2010,” available at </w:t>
      </w:r>
      <w:hyperlink r:id="rId6" w:history="1">
        <w:r w:rsidR="00CF39A1">
          <w:rPr>
            <w:rStyle w:val="Hyperlink"/>
          </w:rPr>
          <w:t>http://www.census.gov/content/dam/Census/library/publications/2012/demo/p20-567.pdf</w:t>
        </w:r>
      </w:hyperlink>
      <w:r>
        <w:t xml:space="preserve">. </w:t>
      </w:r>
    </w:p>
  </w:footnote>
  <w:footnote w:id="11">
    <w:p w:rsidR="00A54A7E" w:rsidRDefault="00A54A7E">
      <w:pPr>
        <w:pStyle w:val="FootnoteText"/>
      </w:pPr>
      <w:r>
        <w:rPr>
          <w:rStyle w:val="FootnoteReference"/>
        </w:rPr>
        <w:footnoteRef/>
      </w:r>
      <w:r>
        <w:t xml:space="preserve"> Because this scenario is hypothetical and for demonstration purposes only, no reprocessing was conducted. </w:t>
      </w:r>
    </w:p>
  </w:footnote>
  <w:footnote w:id="12">
    <w:p w:rsidR="007D369D" w:rsidRDefault="007D369D">
      <w:pPr>
        <w:pStyle w:val="FootnoteText"/>
      </w:pPr>
      <w:r>
        <w:rPr>
          <w:rStyle w:val="FootnoteReference"/>
        </w:rPr>
        <w:footnoteRef/>
      </w:r>
      <w:r>
        <w:t xml:space="preserve"> 12-month period can be used interchangeably with 1-year period. </w:t>
      </w:r>
    </w:p>
  </w:footnote>
  <w:footnote w:id="13">
    <w:p w:rsidR="00A54A7E" w:rsidRDefault="00A54A7E">
      <w:pPr>
        <w:pStyle w:val="FootnoteText"/>
      </w:pPr>
      <w:r>
        <w:rPr>
          <w:rStyle w:val="FootnoteReference"/>
        </w:rPr>
        <w:footnoteRef/>
      </w:r>
      <w:r>
        <w:t xml:space="preserve"> As a reminder, ASEC is a supplement of the CPS. ASEC was previously referred to as the March Supplement before 1998. </w:t>
      </w:r>
    </w:p>
  </w:footnote>
  <w:footnote w:id="14">
    <w:p w:rsidR="00A54A7E" w:rsidRDefault="00A54A7E">
      <w:pPr>
        <w:pStyle w:val="FootnoteText"/>
      </w:pPr>
      <w:r>
        <w:rPr>
          <w:rStyle w:val="FootnoteReference"/>
        </w:rPr>
        <w:footnoteRef/>
      </w:r>
      <w:r>
        <w:t xml:space="preserve"> Members of the armed forces who live on post with their families, armed forces members who live off post, and college students who live outside of college dormitories are included in the CPS/ASEC population universe. </w:t>
      </w:r>
    </w:p>
  </w:footnote>
  <w:footnote w:id="15">
    <w:p w:rsidR="00A54A7E" w:rsidRDefault="00A54A7E">
      <w:pPr>
        <w:pStyle w:val="FootnoteText"/>
      </w:pPr>
      <w:r>
        <w:rPr>
          <w:rStyle w:val="FootnoteReference"/>
        </w:rPr>
        <w:footnoteRef/>
      </w:r>
      <w:r>
        <w:t xml:space="preserve"> ACS migration flow products are available at </w:t>
      </w:r>
      <w:hyperlink r:id="rId7" w:history="1">
        <w:r w:rsidR="00CF39A1">
          <w:rPr>
            <w:rStyle w:val="Hyperlink"/>
          </w:rPr>
          <w:t>http://www.census.gov/topics/population/migration/guidance.html</w:t>
        </w:r>
      </w:hyperlink>
      <w:r>
        <w:t xml:space="preserve">. The Census Flows Mapper, a tool designed to visually map county-to-county migration using 5-year multiyear ACS data, is available at </w:t>
      </w:r>
      <w:hyperlink r:id="rId8" w:history="1">
        <w:r w:rsidRPr="00334FEC">
          <w:rPr>
            <w:rStyle w:val="Hyperlink"/>
          </w:rPr>
          <w:t>http://flowsmapper.geo.census.gov/</w:t>
        </w:r>
      </w:hyperlink>
      <w:r>
        <w:t xml:space="preserve">. </w:t>
      </w:r>
    </w:p>
  </w:footnote>
  <w:footnote w:id="16">
    <w:p w:rsidR="00A54A7E" w:rsidRDefault="00A54A7E">
      <w:pPr>
        <w:pStyle w:val="FootnoteText"/>
      </w:pPr>
      <w:r>
        <w:rPr>
          <w:rStyle w:val="FootnoteReference"/>
        </w:rPr>
        <w:footnoteRef/>
      </w:r>
      <w:r>
        <w:t xml:space="preserve"> For more information, see “Comparing ACS data” at </w:t>
      </w:r>
      <w:hyperlink r:id="rId9" w:history="1">
        <w:r w:rsidRPr="00C5263F">
          <w:rPr>
            <w:rStyle w:val="Hyperlink"/>
          </w:rPr>
          <w:t>https://www.census.gov/programs-surveys/acs/guidance/comparing-acs-data.html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7E" w:rsidRDefault="00A54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7E" w:rsidRDefault="00A54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7E" w:rsidRDefault="00A54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2cf3231-8bfa-4c16-a29e-6e9371f64805"/>
  </w:docVars>
  <w:rsids>
    <w:rsidRoot w:val="00680897"/>
    <w:rsid w:val="0000111F"/>
    <w:rsid w:val="000014A1"/>
    <w:rsid w:val="0000158F"/>
    <w:rsid w:val="0000282C"/>
    <w:rsid w:val="00007ECF"/>
    <w:rsid w:val="00010B3C"/>
    <w:rsid w:val="00015A0A"/>
    <w:rsid w:val="00016A3E"/>
    <w:rsid w:val="00017F81"/>
    <w:rsid w:val="00021911"/>
    <w:rsid w:val="00021C75"/>
    <w:rsid w:val="00022322"/>
    <w:rsid w:val="00022836"/>
    <w:rsid w:val="00035150"/>
    <w:rsid w:val="0004037C"/>
    <w:rsid w:val="00040403"/>
    <w:rsid w:val="00040421"/>
    <w:rsid w:val="000407CD"/>
    <w:rsid w:val="00043098"/>
    <w:rsid w:val="00044DCC"/>
    <w:rsid w:val="00046B8C"/>
    <w:rsid w:val="000474AE"/>
    <w:rsid w:val="00047AEF"/>
    <w:rsid w:val="00050D45"/>
    <w:rsid w:val="00054BE2"/>
    <w:rsid w:val="00054F65"/>
    <w:rsid w:val="000613E0"/>
    <w:rsid w:val="0006356B"/>
    <w:rsid w:val="00065670"/>
    <w:rsid w:val="00070DBA"/>
    <w:rsid w:val="00072585"/>
    <w:rsid w:val="00072FB0"/>
    <w:rsid w:val="00073B7E"/>
    <w:rsid w:val="00073D64"/>
    <w:rsid w:val="000748AC"/>
    <w:rsid w:val="00075F0D"/>
    <w:rsid w:val="0007679E"/>
    <w:rsid w:val="00076E68"/>
    <w:rsid w:val="0008230B"/>
    <w:rsid w:val="000824AE"/>
    <w:rsid w:val="0008250C"/>
    <w:rsid w:val="00082A30"/>
    <w:rsid w:val="00083B68"/>
    <w:rsid w:val="000845B0"/>
    <w:rsid w:val="00090210"/>
    <w:rsid w:val="000918B5"/>
    <w:rsid w:val="00095AB1"/>
    <w:rsid w:val="00095E55"/>
    <w:rsid w:val="000A0B28"/>
    <w:rsid w:val="000A40E4"/>
    <w:rsid w:val="000A4168"/>
    <w:rsid w:val="000A5CC6"/>
    <w:rsid w:val="000B18D0"/>
    <w:rsid w:val="000B2E5C"/>
    <w:rsid w:val="000B76B8"/>
    <w:rsid w:val="000C1CF5"/>
    <w:rsid w:val="000C1FE2"/>
    <w:rsid w:val="000C3326"/>
    <w:rsid w:val="000C4DF2"/>
    <w:rsid w:val="000D02F4"/>
    <w:rsid w:val="000D0841"/>
    <w:rsid w:val="000D0C7D"/>
    <w:rsid w:val="000D3520"/>
    <w:rsid w:val="000D3582"/>
    <w:rsid w:val="000D54D7"/>
    <w:rsid w:val="000D6F79"/>
    <w:rsid w:val="000D7365"/>
    <w:rsid w:val="000D7E4E"/>
    <w:rsid w:val="000D7FB2"/>
    <w:rsid w:val="000E242E"/>
    <w:rsid w:val="000E3677"/>
    <w:rsid w:val="000E38C4"/>
    <w:rsid w:val="000E70AF"/>
    <w:rsid w:val="000E7829"/>
    <w:rsid w:val="000F1A10"/>
    <w:rsid w:val="000F29D3"/>
    <w:rsid w:val="000F3003"/>
    <w:rsid w:val="000F3966"/>
    <w:rsid w:val="000F55AA"/>
    <w:rsid w:val="000F5AC4"/>
    <w:rsid w:val="000F68BA"/>
    <w:rsid w:val="00100C54"/>
    <w:rsid w:val="001016C6"/>
    <w:rsid w:val="0010173F"/>
    <w:rsid w:val="00103552"/>
    <w:rsid w:val="00103671"/>
    <w:rsid w:val="00107E78"/>
    <w:rsid w:val="00112C69"/>
    <w:rsid w:val="00113A41"/>
    <w:rsid w:val="00114976"/>
    <w:rsid w:val="00114EB4"/>
    <w:rsid w:val="0012074E"/>
    <w:rsid w:val="0012334A"/>
    <w:rsid w:val="001239BC"/>
    <w:rsid w:val="00123FE7"/>
    <w:rsid w:val="001246B7"/>
    <w:rsid w:val="00124C73"/>
    <w:rsid w:val="001258E3"/>
    <w:rsid w:val="00125DF0"/>
    <w:rsid w:val="0012733C"/>
    <w:rsid w:val="0012786F"/>
    <w:rsid w:val="001309D2"/>
    <w:rsid w:val="00132325"/>
    <w:rsid w:val="00132F79"/>
    <w:rsid w:val="00133A39"/>
    <w:rsid w:val="001354EA"/>
    <w:rsid w:val="001378EC"/>
    <w:rsid w:val="0014095A"/>
    <w:rsid w:val="00142230"/>
    <w:rsid w:val="00144B99"/>
    <w:rsid w:val="00144C57"/>
    <w:rsid w:val="0015032D"/>
    <w:rsid w:val="00150EEF"/>
    <w:rsid w:val="00150FBF"/>
    <w:rsid w:val="00151D5D"/>
    <w:rsid w:val="00157FB3"/>
    <w:rsid w:val="001651F1"/>
    <w:rsid w:val="00165BAF"/>
    <w:rsid w:val="0016642D"/>
    <w:rsid w:val="00166A43"/>
    <w:rsid w:val="00170324"/>
    <w:rsid w:val="001709AE"/>
    <w:rsid w:val="00171EC7"/>
    <w:rsid w:val="00175656"/>
    <w:rsid w:val="00175F4D"/>
    <w:rsid w:val="00176267"/>
    <w:rsid w:val="001776C7"/>
    <w:rsid w:val="00177B64"/>
    <w:rsid w:val="0018054C"/>
    <w:rsid w:val="00180B3C"/>
    <w:rsid w:val="001814D5"/>
    <w:rsid w:val="00181A13"/>
    <w:rsid w:val="00181BE1"/>
    <w:rsid w:val="001824B2"/>
    <w:rsid w:val="001830A7"/>
    <w:rsid w:val="00186767"/>
    <w:rsid w:val="0019197A"/>
    <w:rsid w:val="00192417"/>
    <w:rsid w:val="00192CA5"/>
    <w:rsid w:val="00195457"/>
    <w:rsid w:val="001957DC"/>
    <w:rsid w:val="001959A2"/>
    <w:rsid w:val="00197EF9"/>
    <w:rsid w:val="001A1376"/>
    <w:rsid w:val="001A1F86"/>
    <w:rsid w:val="001A2EAC"/>
    <w:rsid w:val="001A4603"/>
    <w:rsid w:val="001A5898"/>
    <w:rsid w:val="001A68FF"/>
    <w:rsid w:val="001A78FD"/>
    <w:rsid w:val="001A7C76"/>
    <w:rsid w:val="001B031E"/>
    <w:rsid w:val="001B0755"/>
    <w:rsid w:val="001B1584"/>
    <w:rsid w:val="001B41A0"/>
    <w:rsid w:val="001C100F"/>
    <w:rsid w:val="001C161F"/>
    <w:rsid w:val="001C31B0"/>
    <w:rsid w:val="001C3881"/>
    <w:rsid w:val="001C53CA"/>
    <w:rsid w:val="001C6FCC"/>
    <w:rsid w:val="001C7593"/>
    <w:rsid w:val="001D1FBF"/>
    <w:rsid w:val="001D2A7C"/>
    <w:rsid w:val="001D3D52"/>
    <w:rsid w:val="001D61A4"/>
    <w:rsid w:val="001D69A8"/>
    <w:rsid w:val="001D6B98"/>
    <w:rsid w:val="001D7296"/>
    <w:rsid w:val="001D7442"/>
    <w:rsid w:val="001E222C"/>
    <w:rsid w:val="001E2A84"/>
    <w:rsid w:val="001E4D47"/>
    <w:rsid w:val="001E4E72"/>
    <w:rsid w:val="001E55EE"/>
    <w:rsid w:val="001E67FB"/>
    <w:rsid w:val="001F7115"/>
    <w:rsid w:val="00201115"/>
    <w:rsid w:val="002053D1"/>
    <w:rsid w:val="00210773"/>
    <w:rsid w:val="002146F5"/>
    <w:rsid w:val="002156F2"/>
    <w:rsid w:val="002169AE"/>
    <w:rsid w:val="00223A9F"/>
    <w:rsid w:val="002254A4"/>
    <w:rsid w:val="00230525"/>
    <w:rsid w:val="00230866"/>
    <w:rsid w:val="0023278A"/>
    <w:rsid w:val="00232B2C"/>
    <w:rsid w:val="00233E1C"/>
    <w:rsid w:val="00237AFA"/>
    <w:rsid w:val="00241638"/>
    <w:rsid w:val="0024212D"/>
    <w:rsid w:val="002467AE"/>
    <w:rsid w:val="002605C4"/>
    <w:rsid w:val="00260787"/>
    <w:rsid w:val="00260A94"/>
    <w:rsid w:val="00270381"/>
    <w:rsid w:val="00270622"/>
    <w:rsid w:val="00271A54"/>
    <w:rsid w:val="00277850"/>
    <w:rsid w:val="0028241C"/>
    <w:rsid w:val="00285163"/>
    <w:rsid w:val="00285838"/>
    <w:rsid w:val="00285B4E"/>
    <w:rsid w:val="002878AA"/>
    <w:rsid w:val="002A00DF"/>
    <w:rsid w:val="002A1C8A"/>
    <w:rsid w:val="002A530A"/>
    <w:rsid w:val="002B2893"/>
    <w:rsid w:val="002B3564"/>
    <w:rsid w:val="002B3B1E"/>
    <w:rsid w:val="002B55CD"/>
    <w:rsid w:val="002C2BD5"/>
    <w:rsid w:val="002C2D6F"/>
    <w:rsid w:val="002C3AB5"/>
    <w:rsid w:val="002C5682"/>
    <w:rsid w:val="002C670B"/>
    <w:rsid w:val="002C6C80"/>
    <w:rsid w:val="002C78B6"/>
    <w:rsid w:val="002D05DB"/>
    <w:rsid w:val="002D0B25"/>
    <w:rsid w:val="002D1D1D"/>
    <w:rsid w:val="002D1D96"/>
    <w:rsid w:val="002D2CFC"/>
    <w:rsid w:val="002D334B"/>
    <w:rsid w:val="002D4A37"/>
    <w:rsid w:val="002D511D"/>
    <w:rsid w:val="002D7A53"/>
    <w:rsid w:val="002D7CB8"/>
    <w:rsid w:val="002E00CB"/>
    <w:rsid w:val="002E2DA3"/>
    <w:rsid w:val="002E4E23"/>
    <w:rsid w:val="002E55D0"/>
    <w:rsid w:val="002E5912"/>
    <w:rsid w:val="002E6C5A"/>
    <w:rsid w:val="002F2121"/>
    <w:rsid w:val="002F26A2"/>
    <w:rsid w:val="002F2D0F"/>
    <w:rsid w:val="002F37A8"/>
    <w:rsid w:val="002F47EB"/>
    <w:rsid w:val="002F535D"/>
    <w:rsid w:val="002F6B3A"/>
    <w:rsid w:val="002F7407"/>
    <w:rsid w:val="00300E0B"/>
    <w:rsid w:val="00302C16"/>
    <w:rsid w:val="0030520E"/>
    <w:rsid w:val="00310C29"/>
    <w:rsid w:val="00313C68"/>
    <w:rsid w:val="00317CE8"/>
    <w:rsid w:val="00320F6B"/>
    <w:rsid w:val="003223B9"/>
    <w:rsid w:val="00324396"/>
    <w:rsid w:val="00324645"/>
    <w:rsid w:val="0032501B"/>
    <w:rsid w:val="003253A5"/>
    <w:rsid w:val="00325E33"/>
    <w:rsid w:val="00326FFE"/>
    <w:rsid w:val="00327385"/>
    <w:rsid w:val="00331FB2"/>
    <w:rsid w:val="0033431B"/>
    <w:rsid w:val="003344F5"/>
    <w:rsid w:val="00335609"/>
    <w:rsid w:val="00341763"/>
    <w:rsid w:val="00341B5D"/>
    <w:rsid w:val="00341E82"/>
    <w:rsid w:val="00342A81"/>
    <w:rsid w:val="00343271"/>
    <w:rsid w:val="00346713"/>
    <w:rsid w:val="00346BFE"/>
    <w:rsid w:val="00347C1A"/>
    <w:rsid w:val="00347F99"/>
    <w:rsid w:val="00350B26"/>
    <w:rsid w:val="00350B63"/>
    <w:rsid w:val="0035120F"/>
    <w:rsid w:val="00356266"/>
    <w:rsid w:val="00363A29"/>
    <w:rsid w:val="00364180"/>
    <w:rsid w:val="00370705"/>
    <w:rsid w:val="00372400"/>
    <w:rsid w:val="00374FAE"/>
    <w:rsid w:val="00375C30"/>
    <w:rsid w:val="00376793"/>
    <w:rsid w:val="00376D3D"/>
    <w:rsid w:val="0037745C"/>
    <w:rsid w:val="00377CD6"/>
    <w:rsid w:val="00381129"/>
    <w:rsid w:val="0038288F"/>
    <w:rsid w:val="003849DD"/>
    <w:rsid w:val="00386E16"/>
    <w:rsid w:val="00391A0D"/>
    <w:rsid w:val="00391AFF"/>
    <w:rsid w:val="00391FAF"/>
    <w:rsid w:val="00392DDB"/>
    <w:rsid w:val="003950D5"/>
    <w:rsid w:val="00396046"/>
    <w:rsid w:val="0039611C"/>
    <w:rsid w:val="00396D75"/>
    <w:rsid w:val="003A0B64"/>
    <w:rsid w:val="003A0C2F"/>
    <w:rsid w:val="003B03D6"/>
    <w:rsid w:val="003B3F52"/>
    <w:rsid w:val="003B4451"/>
    <w:rsid w:val="003B7914"/>
    <w:rsid w:val="003C1462"/>
    <w:rsid w:val="003C4807"/>
    <w:rsid w:val="003C4B3F"/>
    <w:rsid w:val="003C572B"/>
    <w:rsid w:val="003C5C25"/>
    <w:rsid w:val="003D1081"/>
    <w:rsid w:val="003D19AA"/>
    <w:rsid w:val="003D3E6B"/>
    <w:rsid w:val="003D7E2C"/>
    <w:rsid w:val="003E1055"/>
    <w:rsid w:val="003E2A2C"/>
    <w:rsid w:val="003E4A57"/>
    <w:rsid w:val="003E7265"/>
    <w:rsid w:val="003E7BBA"/>
    <w:rsid w:val="003F0149"/>
    <w:rsid w:val="003F09D5"/>
    <w:rsid w:val="003F13F9"/>
    <w:rsid w:val="003F219D"/>
    <w:rsid w:val="003F24C9"/>
    <w:rsid w:val="003F2F9B"/>
    <w:rsid w:val="00406B83"/>
    <w:rsid w:val="00406EBF"/>
    <w:rsid w:val="00407AE1"/>
    <w:rsid w:val="0041349C"/>
    <w:rsid w:val="0041799E"/>
    <w:rsid w:val="00417DFD"/>
    <w:rsid w:val="00420BCF"/>
    <w:rsid w:val="00421866"/>
    <w:rsid w:val="00422ED7"/>
    <w:rsid w:val="004254F0"/>
    <w:rsid w:val="00425CE7"/>
    <w:rsid w:val="004327DD"/>
    <w:rsid w:val="00442139"/>
    <w:rsid w:val="00442A1A"/>
    <w:rsid w:val="004446AA"/>
    <w:rsid w:val="0044532F"/>
    <w:rsid w:val="00450981"/>
    <w:rsid w:val="0045193D"/>
    <w:rsid w:val="004544A3"/>
    <w:rsid w:val="004573FE"/>
    <w:rsid w:val="00457E26"/>
    <w:rsid w:val="00461FEF"/>
    <w:rsid w:val="00462690"/>
    <w:rsid w:val="00462716"/>
    <w:rsid w:val="00470C31"/>
    <w:rsid w:val="004725D6"/>
    <w:rsid w:val="00472EA0"/>
    <w:rsid w:val="00474425"/>
    <w:rsid w:val="004744C4"/>
    <w:rsid w:val="0047481B"/>
    <w:rsid w:val="00475281"/>
    <w:rsid w:val="0047567C"/>
    <w:rsid w:val="00476D6A"/>
    <w:rsid w:val="00476F3D"/>
    <w:rsid w:val="0048158B"/>
    <w:rsid w:val="0048237A"/>
    <w:rsid w:val="00482721"/>
    <w:rsid w:val="00484DD4"/>
    <w:rsid w:val="00496275"/>
    <w:rsid w:val="00496F44"/>
    <w:rsid w:val="004A00DB"/>
    <w:rsid w:val="004A0A43"/>
    <w:rsid w:val="004A1AB3"/>
    <w:rsid w:val="004A50FC"/>
    <w:rsid w:val="004A75D4"/>
    <w:rsid w:val="004B25BA"/>
    <w:rsid w:val="004B30E0"/>
    <w:rsid w:val="004B79D4"/>
    <w:rsid w:val="004C05BD"/>
    <w:rsid w:val="004C27FE"/>
    <w:rsid w:val="004C550A"/>
    <w:rsid w:val="004C740E"/>
    <w:rsid w:val="004D2C6A"/>
    <w:rsid w:val="004D34D2"/>
    <w:rsid w:val="004D3E0E"/>
    <w:rsid w:val="004D4F88"/>
    <w:rsid w:val="004D5659"/>
    <w:rsid w:val="004D5C62"/>
    <w:rsid w:val="004D61D0"/>
    <w:rsid w:val="004E0506"/>
    <w:rsid w:val="004E1973"/>
    <w:rsid w:val="004E1D02"/>
    <w:rsid w:val="004E358A"/>
    <w:rsid w:val="004E41FB"/>
    <w:rsid w:val="004E45D9"/>
    <w:rsid w:val="004E4705"/>
    <w:rsid w:val="004E4931"/>
    <w:rsid w:val="004E7D46"/>
    <w:rsid w:val="004F0C97"/>
    <w:rsid w:val="004F36A6"/>
    <w:rsid w:val="004F4B40"/>
    <w:rsid w:val="004F5FD0"/>
    <w:rsid w:val="004F7EE2"/>
    <w:rsid w:val="0050075B"/>
    <w:rsid w:val="005032A2"/>
    <w:rsid w:val="005036CA"/>
    <w:rsid w:val="005048FA"/>
    <w:rsid w:val="00506AE8"/>
    <w:rsid w:val="00507DA4"/>
    <w:rsid w:val="00510688"/>
    <w:rsid w:val="00510BCB"/>
    <w:rsid w:val="005123A2"/>
    <w:rsid w:val="00516AC8"/>
    <w:rsid w:val="005219C2"/>
    <w:rsid w:val="005231F9"/>
    <w:rsid w:val="00523C6A"/>
    <w:rsid w:val="00525E6B"/>
    <w:rsid w:val="00527D2A"/>
    <w:rsid w:val="005300E8"/>
    <w:rsid w:val="00530AFE"/>
    <w:rsid w:val="0053248D"/>
    <w:rsid w:val="005330FE"/>
    <w:rsid w:val="00533B03"/>
    <w:rsid w:val="00536753"/>
    <w:rsid w:val="005417A8"/>
    <w:rsid w:val="00542C4D"/>
    <w:rsid w:val="00543594"/>
    <w:rsid w:val="005435D2"/>
    <w:rsid w:val="00544F9F"/>
    <w:rsid w:val="00546276"/>
    <w:rsid w:val="0054655B"/>
    <w:rsid w:val="00547C78"/>
    <w:rsid w:val="0055144C"/>
    <w:rsid w:val="00552490"/>
    <w:rsid w:val="00552B6F"/>
    <w:rsid w:val="0055312C"/>
    <w:rsid w:val="00555487"/>
    <w:rsid w:val="00555AC7"/>
    <w:rsid w:val="00556155"/>
    <w:rsid w:val="00556E36"/>
    <w:rsid w:val="005642D9"/>
    <w:rsid w:val="00565C89"/>
    <w:rsid w:val="005675C6"/>
    <w:rsid w:val="0057172E"/>
    <w:rsid w:val="00573AF4"/>
    <w:rsid w:val="0057523E"/>
    <w:rsid w:val="005764FA"/>
    <w:rsid w:val="0058002B"/>
    <w:rsid w:val="005804E4"/>
    <w:rsid w:val="00582838"/>
    <w:rsid w:val="0058324C"/>
    <w:rsid w:val="00584876"/>
    <w:rsid w:val="00585CF3"/>
    <w:rsid w:val="00585DC2"/>
    <w:rsid w:val="005926BE"/>
    <w:rsid w:val="00596B97"/>
    <w:rsid w:val="005A00B8"/>
    <w:rsid w:val="005A1C34"/>
    <w:rsid w:val="005A4A3B"/>
    <w:rsid w:val="005A61A4"/>
    <w:rsid w:val="005A7D19"/>
    <w:rsid w:val="005B753A"/>
    <w:rsid w:val="005C05F2"/>
    <w:rsid w:val="005C0707"/>
    <w:rsid w:val="005C2E23"/>
    <w:rsid w:val="005C305F"/>
    <w:rsid w:val="005C4E9F"/>
    <w:rsid w:val="005D02C8"/>
    <w:rsid w:val="005D0FA3"/>
    <w:rsid w:val="005D39C5"/>
    <w:rsid w:val="005D3C38"/>
    <w:rsid w:val="005D4747"/>
    <w:rsid w:val="005D6187"/>
    <w:rsid w:val="005E07F1"/>
    <w:rsid w:val="005E1845"/>
    <w:rsid w:val="005E3627"/>
    <w:rsid w:val="005E5C93"/>
    <w:rsid w:val="005E677E"/>
    <w:rsid w:val="005F236D"/>
    <w:rsid w:val="005F405F"/>
    <w:rsid w:val="005F5400"/>
    <w:rsid w:val="005F5943"/>
    <w:rsid w:val="005F7DF2"/>
    <w:rsid w:val="005F7F84"/>
    <w:rsid w:val="006024B0"/>
    <w:rsid w:val="00602F4D"/>
    <w:rsid w:val="00603B0E"/>
    <w:rsid w:val="00603C83"/>
    <w:rsid w:val="0060612F"/>
    <w:rsid w:val="006077B6"/>
    <w:rsid w:val="00612F0C"/>
    <w:rsid w:val="006147D9"/>
    <w:rsid w:val="00614DC3"/>
    <w:rsid w:val="006153EB"/>
    <w:rsid w:val="00617025"/>
    <w:rsid w:val="00617E60"/>
    <w:rsid w:val="00620683"/>
    <w:rsid w:val="00622381"/>
    <w:rsid w:val="00622F2C"/>
    <w:rsid w:val="0062336B"/>
    <w:rsid w:val="00624AA3"/>
    <w:rsid w:val="006272EC"/>
    <w:rsid w:val="006278E1"/>
    <w:rsid w:val="006301FE"/>
    <w:rsid w:val="00630404"/>
    <w:rsid w:val="00631706"/>
    <w:rsid w:val="00631FC8"/>
    <w:rsid w:val="00632CE6"/>
    <w:rsid w:val="006347D8"/>
    <w:rsid w:val="00636E03"/>
    <w:rsid w:val="0064123A"/>
    <w:rsid w:val="006429C8"/>
    <w:rsid w:val="00642A63"/>
    <w:rsid w:val="00650CF1"/>
    <w:rsid w:val="00651068"/>
    <w:rsid w:val="00651BDC"/>
    <w:rsid w:val="00654813"/>
    <w:rsid w:val="006570A5"/>
    <w:rsid w:val="0066013F"/>
    <w:rsid w:val="00660701"/>
    <w:rsid w:val="00661AB8"/>
    <w:rsid w:val="00661B19"/>
    <w:rsid w:val="00666D73"/>
    <w:rsid w:val="00667AD2"/>
    <w:rsid w:val="006713E7"/>
    <w:rsid w:val="00674B14"/>
    <w:rsid w:val="00674F9D"/>
    <w:rsid w:val="00676A24"/>
    <w:rsid w:val="006771E7"/>
    <w:rsid w:val="00680897"/>
    <w:rsid w:val="006813E8"/>
    <w:rsid w:val="006824DD"/>
    <w:rsid w:val="00684B47"/>
    <w:rsid w:val="00684D43"/>
    <w:rsid w:val="00684F6A"/>
    <w:rsid w:val="00685A32"/>
    <w:rsid w:val="006906A3"/>
    <w:rsid w:val="00690B05"/>
    <w:rsid w:val="006920E2"/>
    <w:rsid w:val="00692919"/>
    <w:rsid w:val="0069533E"/>
    <w:rsid w:val="00696741"/>
    <w:rsid w:val="006A05F0"/>
    <w:rsid w:val="006A67C1"/>
    <w:rsid w:val="006A72CB"/>
    <w:rsid w:val="006B090D"/>
    <w:rsid w:val="006B1E39"/>
    <w:rsid w:val="006B24FC"/>
    <w:rsid w:val="006B265F"/>
    <w:rsid w:val="006B2D9E"/>
    <w:rsid w:val="006B3323"/>
    <w:rsid w:val="006B4AAA"/>
    <w:rsid w:val="006C18B5"/>
    <w:rsid w:val="006C421D"/>
    <w:rsid w:val="006C582A"/>
    <w:rsid w:val="006C5FFD"/>
    <w:rsid w:val="006C674B"/>
    <w:rsid w:val="006C7599"/>
    <w:rsid w:val="006C7884"/>
    <w:rsid w:val="006D03CA"/>
    <w:rsid w:val="006D1F6D"/>
    <w:rsid w:val="006D23A8"/>
    <w:rsid w:val="006D24D4"/>
    <w:rsid w:val="006D436E"/>
    <w:rsid w:val="006D4740"/>
    <w:rsid w:val="006E0F5F"/>
    <w:rsid w:val="006E1B8D"/>
    <w:rsid w:val="006E2DDC"/>
    <w:rsid w:val="006E4089"/>
    <w:rsid w:val="006E48E6"/>
    <w:rsid w:val="006F10BA"/>
    <w:rsid w:val="006F2E93"/>
    <w:rsid w:val="006F71D4"/>
    <w:rsid w:val="007025E5"/>
    <w:rsid w:val="00702904"/>
    <w:rsid w:val="00702F1A"/>
    <w:rsid w:val="00704B23"/>
    <w:rsid w:val="0071275A"/>
    <w:rsid w:val="00713270"/>
    <w:rsid w:val="00717913"/>
    <w:rsid w:val="00717A53"/>
    <w:rsid w:val="007201B6"/>
    <w:rsid w:val="00720583"/>
    <w:rsid w:val="007207C8"/>
    <w:rsid w:val="00721880"/>
    <w:rsid w:val="00722A68"/>
    <w:rsid w:val="00723C78"/>
    <w:rsid w:val="00724FFA"/>
    <w:rsid w:val="00725390"/>
    <w:rsid w:val="0072541B"/>
    <w:rsid w:val="00726C24"/>
    <w:rsid w:val="0072711B"/>
    <w:rsid w:val="0073146E"/>
    <w:rsid w:val="007343AD"/>
    <w:rsid w:val="007357F8"/>
    <w:rsid w:val="00736F5C"/>
    <w:rsid w:val="00737ADD"/>
    <w:rsid w:val="007418AC"/>
    <w:rsid w:val="007424EA"/>
    <w:rsid w:val="00745C4C"/>
    <w:rsid w:val="00746A89"/>
    <w:rsid w:val="00747EFB"/>
    <w:rsid w:val="007533DA"/>
    <w:rsid w:val="007539F7"/>
    <w:rsid w:val="00755AC7"/>
    <w:rsid w:val="00760B3B"/>
    <w:rsid w:val="007614BB"/>
    <w:rsid w:val="00765B65"/>
    <w:rsid w:val="00766438"/>
    <w:rsid w:val="00766849"/>
    <w:rsid w:val="00770B82"/>
    <w:rsid w:val="00771519"/>
    <w:rsid w:val="007737C9"/>
    <w:rsid w:val="00775D8D"/>
    <w:rsid w:val="00777FA5"/>
    <w:rsid w:val="00780BDC"/>
    <w:rsid w:val="00780C69"/>
    <w:rsid w:val="00783990"/>
    <w:rsid w:val="00784F9D"/>
    <w:rsid w:val="0078595C"/>
    <w:rsid w:val="00786CDB"/>
    <w:rsid w:val="007872FF"/>
    <w:rsid w:val="00787FA4"/>
    <w:rsid w:val="00792095"/>
    <w:rsid w:val="0079224B"/>
    <w:rsid w:val="00792915"/>
    <w:rsid w:val="007929D0"/>
    <w:rsid w:val="007934B0"/>
    <w:rsid w:val="007934F2"/>
    <w:rsid w:val="00794E3E"/>
    <w:rsid w:val="00794F3D"/>
    <w:rsid w:val="0079661A"/>
    <w:rsid w:val="00797293"/>
    <w:rsid w:val="007A0731"/>
    <w:rsid w:val="007A5BE6"/>
    <w:rsid w:val="007A75A8"/>
    <w:rsid w:val="007B002D"/>
    <w:rsid w:val="007B08C6"/>
    <w:rsid w:val="007B2770"/>
    <w:rsid w:val="007B3691"/>
    <w:rsid w:val="007B4428"/>
    <w:rsid w:val="007B70E1"/>
    <w:rsid w:val="007C0F41"/>
    <w:rsid w:val="007C2277"/>
    <w:rsid w:val="007C2A55"/>
    <w:rsid w:val="007C2C09"/>
    <w:rsid w:val="007C3103"/>
    <w:rsid w:val="007C3AD0"/>
    <w:rsid w:val="007C54B2"/>
    <w:rsid w:val="007C591B"/>
    <w:rsid w:val="007C61CB"/>
    <w:rsid w:val="007C66FB"/>
    <w:rsid w:val="007C6B49"/>
    <w:rsid w:val="007C7FD2"/>
    <w:rsid w:val="007D1BD0"/>
    <w:rsid w:val="007D31DD"/>
    <w:rsid w:val="007D369D"/>
    <w:rsid w:val="007D4EF5"/>
    <w:rsid w:val="007D62DD"/>
    <w:rsid w:val="007D663D"/>
    <w:rsid w:val="007D7259"/>
    <w:rsid w:val="007E012D"/>
    <w:rsid w:val="007E3DC5"/>
    <w:rsid w:val="007E5F4C"/>
    <w:rsid w:val="007E6C9F"/>
    <w:rsid w:val="007F22CE"/>
    <w:rsid w:val="007F2587"/>
    <w:rsid w:val="007F348D"/>
    <w:rsid w:val="007F4EE9"/>
    <w:rsid w:val="007F7137"/>
    <w:rsid w:val="007F7B1E"/>
    <w:rsid w:val="007F7DDE"/>
    <w:rsid w:val="00800C1A"/>
    <w:rsid w:val="008036E6"/>
    <w:rsid w:val="0080531E"/>
    <w:rsid w:val="00806366"/>
    <w:rsid w:val="00806531"/>
    <w:rsid w:val="00806D9C"/>
    <w:rsid w:val="00811AB8"/>
    <w:rsid w:val="00815E2F"/>
    <w:rsid w:val="00817514"/>
    <w:rsid w:val="00821B59"/>
    <w:rsid w:val="008222EB"/>
    <w:rsid w:val="008257BB"/>
    <w:rsid w:val="00825F1C"/>
    <w:rsid w:val="00826168"/>
    <w:rsid w:val="008262A5"/>
    <w:rsid w:val="00826421"/>
    <w:rsid w:val="00827B3F"/>
    <w:rsid w:val="0083060C"/>
    <w:rsid w:val="00831130"/>
    <w:rsid w:val="0083142D"/>
    <w:rsid w:val="0083152A"/>
    <w:rsid w:val="00831F03"/>
    <w:rsid w:val="00832371"/>
    <w:rsid w:val="00832A0C"/>
    <w:rsid w:val="0083301A"/>
    <w:rsid w:val="008334AB"/>
    <w:rsid w:val="00835430"/>
    <w:rsid w:val="00835F73"/>
    <w:rsid w:val="00840D49"/>
    <w:rsid w:val="00840F10"/>
    <w:rsid w:val="008417FE"/>
    <w:rsid w:val="00841939"/>
    <w:rsid w:val="00845BCD"/>
    <w:rsid w:val="00846079"/>
    <w:rsid w:val="00847008"/>
    <w:rsid w:val="0085470F"/>
    <w:rsid w:val="00854BE0"/>
    <w:rsid w:val="00854FB7"/>
    <w:rsid w:val="0086074A"/>
    <w:rsid w:val="00861459"/>
    <w:rsid w:val="0086243D"/>
    <w:rsid w:val="00862A35"/>
    <w:rsid w:val="00862D24"/>
    <w:rsid w:val="00863B20"/>
    <w:rsid w:val="00864058"/>
    <w:rsid w:val="0086531F"/>
    <w:rsid w:val="00865C99"/>
    <w:rsid w:val="0086655F"/>
    <w:rsid w:val="00872CA3"/>
    <w:rsid w:val="00873BA7"/>
    <w:rsid w:val="00874605"/>
    <w:rsid w:val="008858A6"/>
    <w:rsid w:val="00894759"/>
    <w:rsid w:val="00894F56"/>
    <w:rsid w:val="00896DE0"/>
    <w:rsid w:val="008A0064"/>
    <w:rsid w:val="008A0544"/>
    <w:rsid w:val="008A3D59"/>
    <w:rsid w:val="008A41DA"/>
    <w:rsid w:val="008A5A81"/>
    <w:rsid w:val="008A5A8F"/>
    <w:rsid w:val="008A5F16"/>
    <w:rsid w:val="008A77C4"/>
    <w:rsid w:val="008B0EEA"/>
    <w:rsid w:val="008B21B8"/>
    <w:rsid w:val="008B23A6"/>
    <w:rsid w:val="008B417A"/>
    <w:rsid w:val="008B4DBE"/>
    <w:rsid w:val="008B508B"/>
    <w:rsid w:val="008B74E3"/>
    <w:rsid w:val="008C017E"/>
    <w:rsid w:val="008C1007"/>
    <w:rsid w:val="008C2482"/>
    <w:rsid w:val="008C4119"/>
    <w:rsid w:val="008C48E4"/>
    <w:rsid w:val="008C52A3"/>
    <w:rsid w:val="008C6312"/>
    <w:rsid w:val="008C7F37"/>
    <w:rsid w:val="008D0013"/>
    <w:rsid w:val="008D0A5D"/>
    <w:rsid w:val="008D0C42"/>
    <w:rsid w:val="008D2B16"/>
    <w:rsid w:val="008D4BA2"/>
    <w:rsid w:val="008D79B8"/>
    <w:rsid w:val="008E2D38"/>
    <w:rsid w:val="008E2F68"/>
    <w:rsid w:val="008E3DB3"/>
    <w:rsid w:val="008E7169"/>
    <w:rsid w:val="008F2579"/>
    <w:rsid w:val="00901159"/>
    <w:rsid w:val="00901BDF"/>
    <w:rsid w:val="00902233"/>
    <w:rsid w:val="00902CA3"/>
    <w:rsid w:val="00902D98"/>
    <w:rsid w:val="00905E42"/>
    <w:rsid w:val="00906B2F"/>
    <w:rsid w:val="009114B6"/>
    <w:rsid w:val="009148EC"/>
    <w:rsid w:val="0091517A"/>
    <w:rsid w:val="00922423"/>
    <w:rsid w:val="00923BBA"/>
    <w:rsid w:val="00923BF6"/>
    <w:rsid w:val="00924234"/>
    <w:rsid w:val="00924D15"/>
    <w:rsid w:val="00925D40"/>
    <w:rsid w:val="009279BF"/>
    <w:rsid w:val="009321DC"/>
    <w:rsid w:val="00934198"/>
    <w:rsid w:val="00936ACD"/>
    <w:rsid w:val="00936BEE"/>
    <w:rsid w:val="00940B49"/>
    <w:rsid w:val="009419EC"/>
    <w:rsid w:val="009443C0"/>
    <w:rsid w:val="00945606"/>
    <w:rsid w:val="00945F94"/>
    <w:rsid w:val="00946255"/>
    <w:rsid w:val="00950492"/>
    <w:rsid w:val="00950EEE"/>
    <w:rsid w:val="00952A04"/>
    <w:rsid w:val="009535FF"/>
    <w:rsid w:val="00953A05"/>
    <w:rsid w:val="00955EDE"/>
    <w:rsid w:val="00956C06"/>
    <w:rsid w:val="00956F9D"/>
    <w:rsid w:val="009570E5"/>
    <w:rsid w:val="00957E48"/>
    <w:rsid w:val="0096137D"/>
    <w:rsid w:val="00961B80"/>
    <w:rsid w:val="00961CA0"/>
    <w:rsid w:val="00962715"/>
    <w:rsid w:val="00962766"/>
    <w:rsid w:val="00964B2E"/>
    <w:rsid w:val="00964E70"/>
    <w:rsid w:val="00965087"/>
    <w:rsid w:val="0096508C"/>
    <w:rsid w:val="009655FA"/>
    <w:rsid w:val="00965657"/>
    <w:rsid w:val="0097210D"/>
    <w:rsid w:val="00974537"/>
    <w:rsid w:val="00975595"/>
    <w:rsid w:val="00977F0E"/>
    <w:rsid w:val="0098087F"/>
    <w:rsid w:val="0098138A"/>
    <w:rsid w:val="00981CFD"/>
    <w:rsid w:val="0098267C"/>
    <w:rsid w:val="0098435B"/>
    <w:rsid w:val="00990A5E"/>
    <w:rsid w:val="009915C5"/>
    <w:rsid w:val="00991D44"/>
    <w:rsid w:val="0099209B"/>
    <w:rsid w:val="009920F6"/>
    <w:rsid w:val="00992D11"/>
    <w:rsid w:val="0099325E"/>
    <w:rsid w:val="00993BC8"/>
    <w:rsid w:val="00993E6C"/>
    <w:rsid w:val="009940DB"/>
    <w:rsid w:val="00994841"/>
    <w:rsid w:val="00995CC1"/>
    <w:rsid w:val="00996825"/>
    <w:rsid w:val="00996A60"/>
    <w:rsid w:val="00996F42"/>
    <w:rsid w:val="009A06E2"/>
    <w:rsid w:val="009A1344"/>
    <w:rsid w:val="009A2CB6"/>
    <w:rsid w:val="009A3BB9"/>
    <w:rsid w:val="009A469F"/>
    <w:rsid w:val="009A53FE"/>
    <w:rsid w:val="009A68C3"/>
    <w:rsid w:val="009A6A1A"/>
    <w:rsid w:val="009A6DD2"/>
    <w:rsid w:val="009B5896"/>
    <w:rsid w:val="009B5EE2"/>
    <w:rsid w:val="009B6F4F"/>
    <w:rsid w:val="009B7203"/>
    <w:rsid w:val="009B7554"/>
    <w:rsid w:val="009C5082"/>
    <w:rsid w:val="009C52E9"/>
    <w:rsid w:val="009C5977"/>
    <w:rsid w:val="009D1374"/>
    <w:rsid w:val="009D2AD1"/>
    <w:rsid w:val="009D5DE3"/>
    <w:rsid w:val="009D6777"/>
    <w:rsid w:val="009D6AA2"/>
    <w:rsid w:val="009E193E"/>
    <w:rsid w:val="009F17F8"/>
    <w:rsid w:val="009F1A35"/>
    <w:rsid w:val="009F3C94"/>
    <w:rsid w:val="009F60A5"/>
    <w:rsid w:val="009F7101"/>
    <w:rsid w:val="009F71DE"/>
    <w:rsid w:val="00A04CBE"/>
    <w:rsid w:val="00A068D6"/>
    <w:rsid w:val="00A076C9"/>
    <w:rsid w:val="00A12760"/>
    <w:rsid w:val="00A14C1F"/>
    <w:rsid w:val="00A16CF6"/>
    <w:rsid w:val="00A2081F"/>
    <w:rsid w:val="00A21889"/>
    <w:rsid w:val="00A22391"/>
    <w:rsid w:val="00A224A3"/>
    <w:rsid w:val="00A2379D"/>
    <w:rsid w:val="00A238AA"/>
    <w:rsid w:val="00A254D4"/>
    <w:rsid w:val="00A27947"/>
    <w:rsid w:val="00A27CDE"/>
    <w:rsid w:val="00A27D25"/>
    <w:rsid w:val="00A27F9F"/>
    <w:rsid w:val="00A31B12"/>
    <w:rsid w:val="00A329E4"/>
    <w:rsid w:val="00A33A9B"/>
    <w:rsid w:val="00A36199"/>
    <w:rsid w:val="00A36DEE"/>
    <w:rsid w:val="00A37E85"/>
    <w:rsid w:val="00A41C65"/>
    <w:rsid w:val="00A42A1D"/>
    <w:rsid w:val="00A47F41"/>
    <w:rsid w:val="00A50F37"/>
    <w:rsid w:val="00A521D2"/>
    <w:rsid w:val="00A53B22"/>
    <w:rsid w:val="00A53B24"/>
    <w:rsid w:val="00A54A7E"/>
    <w:rsid w:val="00A56624"/>
    <w:rsid w:val="00A5745F"/>
    <w:rsid w:val="00A57E5A"/>
    <w:rsid w:val="00A608A9"/>
    <w:rsid w:val="00A61576"/>
    <w:rsid w:val="00A6214C"/>
    <w:rsid w:val="00A62C9F"/>
    <w:rsid w:val="00A640ED"/>
    <w:rsid w:val="00A64F45"/>
    <w:rsid w:val="00A65370"/>
    <w:rsid w:val="00A67617"/>
    <w:rsid w:val="00A7019D"/>
    <w:rsid w:val="00A70280"/>
    <w:rsid w:val="00A74026"/>
    <w:rsid w:val="00A7585B"/>
    <w:rsid w:val="00A82BDF"/>
    <w:rsid w:val="00A85606"/>
    <w:rsid w:val="00A85E5E"/>
    <w:rsid w:val="00A86679"/>
    <w:rsid w:val="00A86D77"/>
    <w:rsid w:val="00A8734D"/>
    <w:rsid w:val="00A90D37"/>
    <w:rsid w:val="00A92F6C"/>
    <w:rsid w:val="00A94B16"/>
    <w:rsid w:val="00A95C46"/>
    <w:rsid w:val="00A97A9E"/>
    <w:rsid w:val="00AA0168"/>
    <w:rsid w:val="00AA41F3"/>
    <w:rsid w:val="00AA57D5"/>
    <w:rsid w:val="00AB1A41"/>
    <w:rsid w:val="00AB51F2"/>
    <w:rsid w:val="00AB563F"/>
    <w:rsid w:val="00AB606D"/>
    <w:rsid w:val="00AB6DB0"/>
    <w:rsid w:val="00AB757E"/>
    <w:rsid w:val="00AC0AF9"/>
    <w:rsid w:val="00AC436C"/>
    <w:rsid w:val="00AC6A40"/>
    <w:rsid w:val="00AD1837"/>
    <w:rsid w:val="00AD557D"/>
    <w:rsid w:val="00AD654C"/>
    <w:rsid w:val="00AD67E2"/>
    <w:rsid w:val="00AD69BE"/>
    <w:rsid w:val="00AD75E0"/>
    <w:rsid w:val="00AD7AD3"/>
    <w:rsid w:val="00AE036E"/>
    <w:rsid w:val="00AE1D4E"/>
    <w:rsid w:val="00AE24D3"/>
    <w:rsid w:val="00AE260A"/>
    <w:rsid w:val="00AE28D7"/>
    <w:rsid w:val="00AE2E67"/>
    <w:rsid w:val="00AE3314"/>
    <w:rsid w:val="00AE4719"/>
    <w:rsid w:val="00AE48B9"/>
    <w:rsid w:val="00AE5953"/>
    <w:rsid w:val="00AE6705"/>
    <w:rsid w:val="00AF059C"/>
    <w:rsid w:val="00AF41D4"/>
    <w:rsid w:val="00AF5192"/>
    <w:rsid w:val="00AF5D66"/>
    <w:rsid w:val="00AF6F05"/>
    <w:rsid w:val="00B000AF"/>
    <w:rsid w:val="00B01518"/>
    <w:rsid w:val="00B01A60"/>
    <w:rsid w:val="00B01F55"/>
    <w:rsid w:val="00B02AF6"/>
    <w:rsid w:val="00B049A7"/>
    <w:rsid w:val="00B04CA7"/>
    <w:rsid w:val="00B05409"/>
    <w:rsid w:val="00B055DB"/>
    <w:rsid w:val="00B11089"/>
    <w:rsid w:val="00B127EE"/>
    <w:rsid w:val="00B15DCE"/>
    <w:rsid w:val="00B1648D"/>
    <w:rsid w:val="00B16869"/>
    <w:rsid w:val="00B1728C"/>
    <w:rsid w:val="00B17A4C"/>
    <w:rsid w:val="00B21E0D"/>
    <w:rsid w:val="00B22D8B"/>
    <w:rsid w:val="00B261D8"/>
    <w:rsid w:val="00B27039"/>
    <w:rsid w:val="00B27233"/>
    <w:rsid w:val="00B30DF3"/>
    <w:rsid w:val="00B31967"/>
    <w:rsid w:val="00B32125"/>
    <w:rsid w:val="00B33FC5"/>
    <w:rsid w:val="00B40727"/>
    <w:rsid w:val="00B416ED"/>
    <w:rsid w:val="00B42AC4"/>
    <w:rsid w:val="00B455E0"/>
    <w:rsid w:val="00B45D0D"/>
    <w:rsid w:val="00B47C2A"/>
    <w:rsid w:val="00B50A32"/>
    <w:rsid w:val="00B5188D"/>
    <w:rsid w:val="00B522D1"/>
    <w:rsid w:val="00B56A10"/>
    <w:rsid w:val="00B56AE2"/>
    <w:rsid w:val="00B60DCC"/>
    <w:rsid w:val="00B61033"/>
    <w:rsid w:val="00B64E98"/>
    <w:rsid w:val="00B6608C"/>
    <w:rsid w:val="00B71675"/>
    <w:rsid w:val="00B731EE"/>
    <w:rsid w:val="00B7463E"/>
    <w:rsid w:val="00B76EA7"/>
    <w:rsid w:val="00B82BEB"/>
    <w:rsid w:val="00B844DF"/>
    <w:rsid w:val="00B85450"/>
    <w:rsid w:val="00B85DDB"/>
    <w:rsid w:val="00B912F0"/>
    <w:rsid w:val="00B921C5"/>
    <w:rsid w:val="00B93429"/>
    <w:rsid w:val="00B94C23"/>
    <w:rsid w:val="00B96913"/>
    <w:rsid w:val="00B97EE5"/>
    <w:rsid w:val="00BA0097"/>
    <w:rsid w:val="00BA0229"/>
    <w:rsid w:val="00BA022D"/>
    <w:rsid w:val="00BA2716"/>
    <w:rsid w:val="00BA2940"/>
    <w:rsid w:val="00BA3192"/>
    <w:rsid w:val="00BA3394"/>
    <w:rsid w:val="00BA3AC2"/>
    <w:rsid w:val="00BA78A0"/>
    <w:rsid w:val="00BB024F"/>
    <w:rsid w:val="00BB27D5"/>
    <w:rsid w:val="00BB3929"/>
    <w:rsid w:val="00BB6ED0"/>
    <w:rsid w:val="00BB7D6B"/>
    <w:rsid w:val="00BC0571"/>
    <w:rsid w:val="00BC0995"/>
    <w:rsid w:val="00BC10CD"/>
    <w:rsid w:val="00BC2BA0"/>
    <w:rsid w:val="00BC36BF"/>
    <w:rsid w:val="00BC4504"/>
    <w:rsid w:val="00BC5E3E"/>
    <w:rsid w:val="00BC77EB"/>
    <w:rsid w:val="00BD0EFF"/>
    <w:rsid w:val="00BD108A"/>
    <w:rsid w:val="00BD14A8"/>
    <w:rsid w:val="00BD2558"/>
    <w:rsid w:val="00BD5C25"/>
    <w:rsid w:val="00BD5E4A"/>
    <w:rsid w:val="00BD68DD"/>
    <w:rsid w:val="00BE17BD"/>
    <w:rsid w:val="00BE19D1"/>
    <w:rsid w:val="00BE4223"/>
    <w:rsid w:val="00BE4C05"/>
    <w:rsid w:val="00BE4DB1"/>
    <w:rsid w:val="00BE4E3B"/>
    <w:rsid w:val="00BE510D"/>
    <w:rsid w:val="00BE5453"/>
    <w:rsid w:val="00BE757F"/>
    <w:rsid w:val="00BF0A44"/>
    <w:rsid w:val="00BF0BD1"/>
    <w:rsid w:val="00BF3C31"/>
    <w:rsid w:val="00BF3C72"/>
    <w:rsid w:val="00BF5386"/>
    <w:rsid w:val="00BF6AFF"/>
    <w:rsid w:val="00C00B1D"/>
    <w:rsid w:val="00C031BD"/>
    <w:rsid w:val="00C04D54"/>
    <w:rsid w:val="00C0573F"/>
    <w:rsid w:val="00C0783E"/>
    <w:rsid w:val="00C13EB4"/>
    <w:rsid w:val="00C158AD"/>
    <w:rsid w:val="00C15E4D"/>
    <w:rsid w:val="00C16B21"/>
    <w:rsid w:val="00C16B2D"/>
    <w:rsid w:val="00C219AA"/>
    <w:rsid w:val="00C23410"/>
    <w:rsid w:val="00C25AED"/>
    <w:rsid w:val="00C26C55"/>
    <w:rsid w:val="00C26D51"/>
    <w:rsid w:val="00C274CB"/>
    <w:rsid w:val="00C32A85"/>
    <w:rsid w:val="00C32B3A"/>
    <w:rsid w:val="00C3311F"/>
    <w:rsid w:val="00C33D07"/>
    <w:rsid w:val="00C33F46"/>
    <w:rsid w:val="00C341B9"/>
    <w:rsid w:val="00C3535E"/>
    <w:rsid w:val="00C3608D"/>
    <w:rsid w:val="00C37604"/>
    <w:rsid w:val="00C40789"/>
    <w:rsid w:val="00C41B25"/>
    <w:rsid w:val="00C425FB"/>
    <w:rsid w:val="00C446A2"/>
    <w:rsid w:val="00C461AD"/>
    <w:rsid w:val="00C47FDC"/>
    <w:rsid w:val="00C50580"/>
    <w:rsid w:val="00C51DAC"/>
    <w:rsid w:val="00C51DC7"/>
    <w:rsid w:val="00C52A24"/>
    <w:rsid w:val="00C53705"/>
    <w:rsid w:val="00C54B4D"/>
    <w:rsid w:val="00C55085"/>
    <w:rsid w:val="00C56AB7"/>
    <w:rsid w:val="00C57B76"/>
    <w:rsid w:val="00C63320"/>
    <w:rsid w:val="00C6474B"/>
    <w:rsid w:val="00C667A4"/>
    <w:rsid w:val="00C80166"/>
    <w:rsid w:val="00C80504"/>
    <w:rsid w:val="00C8091E"/>
    <w:rsid w:val="00C8384F"/>
    <w:rsid w:val="00C92585"/>
    <w:rsid w:val="00C93C16"/>
    <w:rsid w:val="00C96E84"/>
    <w:rsid w:val="00C97199"/>
    <w:rsid w:val="00C97C3C"/>
    <w:rsid w:val="00CA34B2"/>
    <w:rsid w:val="00CA6F3F"/>
    <w:rsid w:val="00CB00E1"/>
    <w:rsid w:val="00CB05CF"/>
    <w:rsid w:val="00CB13D3"/>
    <w:rsid w:val="00CB2287"/>
    <w:rsid w:val="00CB2C2D"/>
    <w:rsid w:val="00CB624C"/>
    <w:rsid w:val="00CC088B"/>
    <w:rsid w:val="00CC1082"/>
    <w:rsid w:val="00CC3629"/>
    <w:rsid w:val="00CC4854"/>
    <w:rsid w:val="00CC535E"/>
    <w:rsid w:val="00CC5B72"/>
    <w:rsid w:val="00CC62EF"/>
    <w:rsid w:val="00CC7493"/>
    <w:rsid w:val="00CC788C"/>
    <w:rsid w:val="00CD40C8"/>
    <w:rsid w:val="00CD5728"/>
    <w:rsid w:val="00CD74C7"/>
    <w:rsid w:val="00CE154D"/>
    <w:rsid w:val="00CE15CD"/>
    <w:rsid w:val="00CE1F5B"/>
    <w:rsid w:val="00CE2ADD"/>
    <w:rsid w:val="00CE2BFE"/>
    <w:rsid w:val="00CE36FA"/>
    <w:rsid w:val="00CE3D47"/>
    <w:rsid w:val="00CE4A95"/>
    <w:rsid w:val="00CE56A3"/>
    <w:rsid w:val="00CE68D4"/>
    <w:rsid w:val="00CE68EC"/>
    <w:rsid w:val="00CE73FD"/>
    <w:rsid w:val="00CF06DB"/>
    <w:rsid w:val="00CF087F"/>
    <w:rsid w:val="00CF08DF"/>
    <w:rsid w:val="00CF1AE1"/>
    <w:rsid w:val="00CF36FE"/>
    <w:rsid w:val="00CF39A1"/>
    <w:rsid w:val="00CF7C23"/>
    <w:rsid w:val="00D0185F"/>
    <w:rsid w:val="00D01FA9"/>
    <w:rsid w:val="00D02A89"/>
    <w:rsid w:val="00D03616"/>
    <w:rsid w:val="00D03EEB"/>
    <w:rsid w:val="00D06168"/>
    <w:rsid w:val="00D1384C"/>
    <w:rsid w:val="00D165F3"/>
    <w:rsid w:val="00D168F5"/>
    <w:rsid w:val="00D214E0"/>
    <w:rsid w:val="00D22AAE"/>
    <w:rsid w:val="00D22ABC"/>
    <w:rsid w:val="00D22E80"/>
    <w:rsid w:val="00D2632C"/>
    <w:rsid w:val="00D26C51"/>
    <w:rsid w:val="00D342E0"/>
    <w:rsid w:val="00D34A92"/>
    <w:rsid w:val="00D37FDA"/>
    <w:rsid w:val="00D43591"/>
    <w:rsid w:val="00D43A8F"/>
    <w:rsid w:val="00D44C64"/>
    <w:rsid w:val="00D44C8F"/>
    <w:rsid w:val="00D457DE"/>
    <w:rsid w:val="00D463D5"/>
    <w:rsid w:val="00D537BA"/>
    <w:rsid w:val="00D540CB"/>
    <w:rsid w:val="00D55261"/>
    <w:rsid w:val="00D56328"/>
    <w:rsid w:val="00D615C6"/>
    <w:rsid w:val="00D6287E"/>
    <w:rsid w:val="00D6390B"/>
    <w:rsid w:val="00D65933"/>
    <w:rsid w:val="00D66155"/>
    <w:rsid w:val="00D66299"/>
    <w:rsid w:val="00D665C4"/>
    <w:rsid w:val="00D66A38"/>
    <w:rsid w:val="00D72940"/>
    <w:rsid w:val="00D72972"/>
    <w:rsid w:val="00D73A11"/>
    <w:rsid w:val="00D74BAE"/>
    <w:rsid w:val="00D7503F"/>
    <w:rsid w:val="00D75CDF"/>
    <w:rsid w:val="00D81B04"/>
    <w:rsid w:val="00D823F2"/>
    <w:rsid w:val="00D852A1"/>
    <w:rsid w:val="00D8607C"/>
    <w:rsid w:val="00D86488"/>
    <w:rsid w:val="00D867A2"/>
    <w:rsid w:val="00D86887"/>
    <w:rsid w:val="00D8775B"/>
    <w:rsid w:val="00D909AC"/>
    <w:rsid w:val="00D92447"/>
    <w:rsid w:val="00D968E9"/>
    <w:rsid w:val="00D97C59"/>
    <w:rsid w:val="00D97F8A"/>
    <w:rsid w:val="00DA19F1"/>
    <w:rsid w:val="00DA2ECC"/>
    <w:rsid w:val="00DA2F1F"/>
    <w:rsid w:val="00DA396F"/>
    <w:rsid w:val="00DA415E"/>
    <w:rsid w:val="00DA526A"/>
    <w:rsid w:val="00DB0818"/>
    <w:rsid w:val="00DB08C6"/>
    <w:rsid w:val="00DB18DB"/>
    <w:rsid w:val="00DB2AE6"/>
    <w:rsid w:val="00DB332C"/>
    <w:rsid w:val="00DB5080"/>
    <w:rsid w:val="00DC52C6"/>
    <w:rsid w:val="00DC663C"/>
    <w:rsid w:val="00DD51E4"/>
    <w:rsid w:val="00DD533B"/>
    <w:rsid w:val="00DE1DA4"/>
    <w:rsid w:val="00DE3D84"/>
    <w:rsid w:val="00DE56C8"/>
    <w:rsid w:val="00DE6CC5"/>
    <w:rsid w:val="00DF04E0"/>
    <w:rsid w:val="00DF0619"/>
    <w:rsid w:val="00DF1366"/>
    <w:rsid w:val="00DF1F3A"/>
    <w:rsid w:val="00DF4521"/>
    <w:rsid w:val="00E00954"/>
    <w:rsid w:val="00E0271E"/>
    <w:rsid w:val="00E0427E"/>
    <w:rsid w:val="00E054E8"/>
    <w:rsid w:val="00E10B6B"/>
    <w:rsid w:val="00E1230D"/>
    <w:rsid w:val="00E13432"/>
    <w:rsid w:val="00E13AF5"/>
    <w:rsid w:val="00E143EC"/>
    <w:rsid w:val="00E156E3"/>
    <w:rsid w:val="00E20FF0"/>
    <w:rsid w:val="00E21AD2"/>
    <w:rsid w:val="00E21CB2"/>
    <w:rsid w:val="00E24F06"/>
    <w:rsid w:val="00E25AC2"/>
    <w:rsid w:val="00E272D9"/>
    <w:rsid w:val="00E273A9"/>
    <w:rsid w:val="00E327BD"/>
    <w:rsid w:val="00E32EE8"/>
    <w:rsid w:val="00E37465"/>
    <w:rsid w:val="00E40435"/>
    <w:rsid w:val="00E42BF9"/>
    <w:rsid w:val="00E42D94"/>
    <w:rsid w:val="00E46F0F"/>
    <w:rsid w:val="00E47316"/>
    <w:rsid w:val="00E47EC8"/>
    <w:rsid w:val="00E52DC9"/>
    <w:rsid w:val="00E552DA"/>
    <w:rsid w:val="00E557D3"/>
    <w:rsid w:val="00E57265"/>
    <w:rsid w:val="00E573AE"/>
    <w:rsid w:val="00E606CC"/>
    <w:rsid w:val="00E6074F"/>
    <w:rsid w:val="00E6237F"/>
    <w:rsid w:val="00E62983"/>
    <w:rsid w:val="00E63F33"/>
    <w:rsid w:val="00E70394"/>
    <w:rsid w:val="00E70ABA"/>
    <w:rsid w:val="00E71688"/>
    <w:rsid w:val="00E72B70"/>
    <w:rsid w:val="00E7732A"/>
    <w:rsid w:val="00E80788"/>
    <w:rsid w:val="00E8198B"/>
    <w:rsid w:val="00E83FF8"/>
    <w:rsid w:val="00E86311"/>
    <w:rsid w:val="00E87B43"/>
    <w:rsid w:val="00E87B90"/>
    <w:rsid w:val="00E9146B"/>
    <w:rsid w:val="00E925F5"/>
    <w:rsid w:val="00E9347E"/>
    <w:rsid w:val="00E94076"/>
    <w:rsid w:val="00E94558"/>
    <w:rsid w:val="00E9541A"/>
    <w:rsid w:val="00E95B84"/>
    <w:rsid w:val="00E96255"/>
    <w:rsid w:val="00EA0A8F"/>
    <w:rsid w:val="00EA2400"/>
    <w:rsid w:val="00EA24E8"/>
    <w:rsid w:val="00EA34E9"/>
    <w:rsid w:val="00EA4034"/>
    <w:rsid w:val="00EA4A66"/>
    <w:rsid w:val="00EA6D65"/>
    <w:rsid w:val="00EA6F89"/>
    <w:rsid w:val="00EA7B96"/>
    <w:rsid w:val="00EB0DB2"/>
    <w:rsid w:val="00EB21EC"/>
    <w:rsid w:val="00EB27BD"/>
    <w:rsid w:val="00EB4CC0"/>
    <w:rsid w:val="00EB77B8"/>
    <w:rsid w:val="00EB798E"/>
    <w:rsid w:val="00EC0AD4"/>
    <w:rsid w:val="00EC0FF2"/>
    <w:rsid w:val="00EC3AB5"/>
    <w:rsid w:val="00EC42C7"/>
    <w:rsid w:val="00EC6799"/>
    <w:rsid w:val="00EC7401"/>
    <w:rsid w:val="00EC7549"/>
    <w:rsid w:val="00EC7BF5"/>
    <w:rsid w:val="00EC7C2C"/>
    <w:rsid w:val="00ED18B2"/>
    <w:rsid w:val="00ED277A"/>
    <w:rsid w:val="00EE419F"/>
    <w:rsid w:val="00EE678F"/>
    <w:rsid w:val="00EE76EF"/>
    <w:rsid w:val="00EF042E"/>
    <w:rsid w:val="00EF09D3"/>
    <w:rsid w:val="00EF198A"/>
    <w:rsid w:val="00EF20DD"/>
    <w:rsid w:val="00EF3906"/>
    <w:rsid w:val="00EF4301"/>
    <w:rsid w:val="00EF45D8"/>
    <w:rsid w:val="00EF679E"/>
    <w:rsid w:val="00EF6C46"/>
    <w:rsid w:val="00EF7C7B"/>
    <w:rsid w:val="00F008AA"/>
    <w:rsid w:val="00F04EB2"/>
    <w:rsid w:val="00F06BD5"/>
    <w:rsid w:val="00F06F1C"/>
    <w:rsid w:val="00F071B3"/>
    <w:rsid w:val="00F07C5B"/>
    <w:rsid w:val="00F07F4F"/>
    <w:rsid w:val="00F1259D"/>
    <w:rsid w:val="00F13C60"/>
    <w:rsid w:val="00F20473"/>
    <w:rsid w:val="00F20DF1"/>
    <w:rsid w:val="00F21BAB"/>
    <w:rsid w:val="00F21D18"/>
    <w:rsid w:val="00F2409D"/>
    <w:rsid w:val="00F24CB0"/>
    <w:rsid w:val="00F2637B"/>
    <w:rsid w:val="00F30C20"/>
    <w:rsid w:val="00F36300"/>
    <w:rsid w:val="00F36A65"/>
    <w:rsid w:val="00F37F66"/>
    <w:rsid w:val="00F37FCA"/>
    <w:rsid w:val="00F402C2"/>
    <w:rsid w:val="00F41392"/>
    <w:rsid w:val="00F41777"/>
    <w:rsid w:val="00F41F0C"/>
    <w:rsid w:val="00F42E2E"/>
    <w:rsid w:val="00F45E98"/>
    <w:rsid w:val="00F461FE"/>
    <w:rsid w:val="00F51798"/>
    <w:rsid w:val="00F51A24"/>
    <w:rsid w:val="00F52867"/>
    <w:rsid w:val="00F52BF7"/>
    <w:rsid w:val="00F53A43"/>
    <w:rsid w:val="00F53A5A"/>
    <w:rsid w:val="00F54172"/>
    <w:rsid w:val="00F55090"/>
    <w:rsid w:val="00F566F2"/>
    <w:rsid w:val="00F603DC"/>
    <w:rsid w:val="00F61748"/>
    <w:rsid w:val="00F62013"/>
    <w:rsid w:val="00F63CF0"/>
    <w:rsid w:val="00F64221"/>
    <w:rsid w:val="00F67C4E"/>
    <w:rsid w:val="00F729CB"/>
    <w:rsid w:val="00F74A84"/>
    <w:rsid w:val="00F74EFE"/>
    <w:rsid w:val="00F7611F"/>
    <w:rsid w:val="00F7621B"/>
    <w:rsid w:val="00F771AA"/>
    <w:rsid w:val="00F805DA"/>
    <w:rsid w:val="00F8110D"/>
    <w:rsid w:val="00F83092"/>
    <w:rsid w:val="00F84666"/>
    <w:rsid w:val="00F85FB9"/>
    <w:rsid w:val="00F86BCE"/>
    <w:rsid w:val="00F87A12"/>
    <w:rsid w:val="00F90B95"/>
    <w:rsid w:val="00F90DF5"/>
    <w:rsid w:val="00F916FD"/>
    <w:rsid w:val="00F918C6"/>
    <w:rsid w:val="00F93DCB"/>
    <w:rsid w:val="00F95159"/>
    <w:rsid w:val="00F97F3D"/>
    <w:rsid w:val="00FA322F"/>
    <w:rsid w:val="00FA3586"/>
    <w:rsid w:val="00FA376B"/>
    <w:rsid w:val="00FA43E2"/>
    <w:rsid w:val="00FA4BD6"/>
    <w:rsid w:val="00FB4AB4"/>
    <w:rsid w:val="00FC0234"/>
    <w:rsid w:val="00FC11EA"/>
    <w:rsid w:val="00FC12CF"/>
    <w:rsid w:val="00FC5D5C"/>
    <w:rsid w:val="00FC6514"/>
    <w:rsid w:val="00FC6E23"/>
    <w:rsid w:val="00FC7766"/>
    <w:rsid w:val="00FD5855"/>
    <w:rsid w:val="00FD610D"/>
    <w:rsid w:val="00FD7F22"/>
    <w:rsid w:val="00FE06C8"/>
    <w:rsid w:val="00FE0BD5"/>
    <w:rsid w:val="00FE0C0A"/>
    <w:rsid w:val="00FE24D7"/>
    <w:rsid w:val="00FE448E"/>
    <w:rsid w:val="00FF0856"/>
    <w:rsid w:val="00FF0A6F"/>
    <w:rsid w:val="00FF1D56"/>
    <w:rsid w:val="00FF52E2"/>
    <w:rsid w:val="00FF569C"/>
    <w:rsid w:val="00FF5854"/>
    <w:rsid w:val="00FF5874"/>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CEABA-619F-42EB-9FBE-E96F9ADE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E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3D52"/>
    <w:rPr>
      <w:sz w:val="20"/>
      <w:szCs w:val="20"/>
    </w:rPr>
  </w:style>
  <w:style w:type="character" w:customStyle="1" w:styleId="FootnoteTextChar">
    <w:name w:val="Footnote Text Char"/>
    <w:basedOn w:val="DefaultParagraphFont"/>
    <w:link w:val="FootnoteText"/>
    <w:uiPriority w:val="99"/>
    <w:semiHidden/>
    <w:rsid w:val="001D3D5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3D52"/>
    <w:rPr>
      <w:vertAlign w:val="superscript"/>
    </w:rPr>
  </w:style>
  <w:style w:type="character" w:styleId="Hyperlink">
    <w:name w:val="Hyperlink"/>
    <w:basedOn w:val="DefaultParagraphFont"/>
    <w:uiPriority w:val="99"/>
    <w:unhideWhenUsed/>
    <w:rsid w:val="00902233"/>
    <w:rPr>
      <w:color w:val="0000FF"/>
      <w:u w:val="single"/>
    </w:rPr>
  </w:style>
  <w:style w:type="character" w:styleId="CommentReference">
    <w:name w:val="annotation reference"/>
    <w:basedOn w:val="DefaultParagraphFont"/>
    <w:uiPriority w:val="99"/>
    <w:semiHidden/>
    <w:unhideWhenUsed/>
    <w:rsid w:val="00661AB8"/>
    <w:rPr>
      <w:sz w:val="16"/>
      <w:szCs w:val="16"/>
    </w:rPr>
  </w:style>
  <w:style w:type="paragraph" w:styleId="CommentText">
    <w:name w:val="annotation text"/>
    <w:basedOn w:val="Normal"/>
    <w:link w:val="CommentTextChar"/>
    <w:uiPriority w:val="99"/>
    <w:semiHidden/>
    <w:unhideWhenUsed/>
    <w:rsid w:val="00661AB8"/>
    <w:rPr>
      <w:sz w:val="20"/>
      <w:szCs w:val="20"/>
    </w:rPr>
  </w:style>
  <w:style w:type="character" w:customStyle="1" w:styleId="CommentTextChar">
    <w:name w:val="Comment Text Char"/>
    <w:basedOn w:val="DefaultParagraphFont"/>
    <w:link w:val="CommentText"/>
    <w:uiPriority w:val="99"/>
    <w:semiHidden/>
    <w:rsid w:val="00661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1AB8"/>
    <w:rPr>
      <w:b/>
      <w:bCs/>
    </w:rPr>
  </w:style>
  <w:style w:type="character" w:customStyle="1" w:styleId="CommentSubjectChar">
    <w:name w:val="Comment Subject Char"/>
    <w:basedOn w:val="CommentTextChar"/>
    <w:link w:val="CommentSubject"/>
    <w:uiPriority w:val="99"/>
    <w:semiHidden/>
    <w:rsid w:val="00661A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1AB8"/>
    <w:rPr>
      <w:rFonts w:ascii="Tahoma" w:hAnsi="Tahoma" w:cs="Tahoma"/>
      <w:sz w:val="16"/>
      <w:szCs w:val="16"/>
    </w:rPr>
  </w:style>
  <w:style w:type="character" w:customStyle="1" w:styleId="BalloonTextChar">
    <w:name w:val="Balloon Text Char"/>
    <w:basedOn w:val="DefaultParagraphFont"/>
    <w:link w:val="BalloonText"/>
    <w:uiPriority w:val="99"/>
    <w:semiHidden/>
    <w:rsid w:val="00661AB8"/>
    <w:rPr>
      <w:rFonts w:ascii="Tahoma" w:eastAsia="Times New Roman" w:hAnsi="Tahoma" w:cs="Tahoma"/>
      <w:sz w:val="16"/>
      <w:szCs w:val="16"/>
    </w:rPr>
  </w:style>
  <w:style w:type="paragraph" w:styleId="Header">
    <w:name w:val="header"/>
    <w:basedOn w:val="Normal"/>
    <w:link w:val="HeaderChar"/>
    <w:uiPriority w:val="99"/>
    <w:unhideWhenUsed/>
    <w:rsid w:val="00D43A8F"/>
    <w:pPr>
      <w:tabs>
        <w:tab w:val="center" w:pos="4680"/>
        <w:tab w:val="right" w:pos="9360"/>
      </w:tabs>
    </w:pPr>
  </w:style>
  <w:style w:type="character" w:customStyle="1" w:styleId="HeaderChar">
    <w:name w:val="Header Char"/>
    <w:basedOn w:val="DefaultParagraphFont"/>
    <w:link w:val="Header"/>
    <w:uiPriority w:val="99"/>
    <w:rsid w:val="00D43A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3A8F"/>
    <w:pPr>
      <w:tabs>
        <w:tab w:val="center" w:pos="4680"/>
        <w:tab w:val="right" w:pos="9360"/>
      </w:tabs>
    </w:pPr>
  </w:style>
  <w:style w:type="character" w:customStyle="1" w:styleId="FooterChar">
    <w:name w:val="Footer Char"/>
    <w:basedOn w:val="DefaultParagraphFont"/>
    <w:link w:val="Footer"/>
    <w:uiPriority w:val="99"/>
    <w:rsid w:val="00D43A8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6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5291">
      <w:bodyDiv w:val="1"/>
      <w:marLeft w:val="0"/>
      <w:marRight w:val="0"/>
      <w:marTop w:val="0"/>
      <w:marBottom w:val="0"/>
      <w:divBdr>
        <w:top w:val="none" w:sz="0" w:space="0" w:color="auto"/>
        <w:left w:val="none" w:sz="0" w:space="0" w:color="auto"/>
        <w:bottom w:val="none" w:sz="0" w:space="0" w:color="auto"/>
        <w:right w:val="none" w:sz="0" w:space="0" w:color="auto"/>
      </w:divBdr>
    </w:div>
    <w:div w:id="840772836">
      <w:bodyDiv w:val="1"/>
      <w:marLeft w:val="0"/>
      <w:marRight w:val="0"/>
      <w:marTop w:val="0"/>
      <w:marBottom w:val="0"/>
      <w:divBdr>
        <w:top w:val="none" w:sz="0" w:space="0" w:color="auto"/>
        <w:left w:val="none" w:sz="0" w:space="0" w:color="auto"/>
        <w:bottom w:val="none" w:sz="0" w:space="0" w:color="auto"/>
        <w:right w:val="none" w:sz="0" w:space="0" w:color="auto"/>
      </w:divBdr>
    </w:div>
    <w:div w:id="20174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flowsmapper.geo.census.gov/" TargetMode="External"/><Relationship Id="rId3" Type="http://schemas.openxmlformats.org/officeDocument/2006/relationships/hyperlink" Target="http://www.census.gov/programs-surveys/acs/methodology/design-and-methodology.html" TargetMode="External"/><Relationship Id="rId7" Type="http://schemas.openxmlformats.org/officeDocument/2006/relationships/hyperlink" Target="http://www.census.gov/topics/population/migration/guidance.html" TargetMode="External"/><Relationship Id="rId2" Type="http://schemas.openxmlformats.org/officeDocument/2006/relationships/hyperlink" Target="http://www2.census.gov/programs-surveys/cps/techdocs/cpsmar15.pdf" TargetMode="External"/><Relationship Id="rId1" Type="http://schemas.openxmlformats.org/officeDocument/2006/relationships/hyperlink" Target="http://www.census.gov/library/working-papers/2015/demo/SEHSD-WP2015-21.html" TargetMode="External"/><Relationship Id="rId6" Type="http://schemas.openxmlformats.org/officeDocument/2006/relationships/hyperlink" Target="http://www.census.gov/content/dam/Census/library/publications/2012/demo/p20-567.pdf" TargetMode="External"/><Relationship Id="rId5" Type="http://schemas.openxmlformats.org/officeDocument/2006/relationships/hyperlink" Target="http://www.census.gov/programs-surveys/acs/methodology/design-and-methodology.html" TargetMode="External"/><Relationship Id="rId4" Type="http://schemas.openxmlformats.org/officeDocument/2006/relationships/hyperlink" Target="http://www.census.gov/content/dam/Census/library/publications/2008/acs/ACSGeneralHandbook.pdf" TargetMode="External"/><Relationship Id="rId9" Type="http://schemas.openxmlformats.org/officeDocument/2006/relationships/hyperlink" Target="https://www.census.gov/programs-surveys/acs/guidance/comparing-acs-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1DA1-DA14-4AF6-A7F2-5CE6BAFA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E9CE45E8</Template>
  <TotalTime>0</TotalTime>
  <Pages>9</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 Ihrke</dc:creator>
  <cp:lastModifiedBy>David K Ihrke (CENSUS/SEHSD FED)</cp:lastModifiedBy>
  <cp:revision>2</cp:revision>
  <cp:lastPrinted>2016-02-29T15:25:00Z</cp:lastPrinted>
  <dcterms:created xsi:type="dcterms:W3CDTF">2017-02-15T19:58:00Z</dcterms:created>
  <dcterms:modified xsi:type="dcterms:W3CDTF">2017-02-15T19:58:00Z</dcterms:modified>
</cp:coreProperties>
</file>